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29" w:rsidRDefault="00B35265" w:rsidP="00F64489">
      <w:pPr>
        <w:pStyle w:val="Heading1"/>
      </w:pPr>
      <w:bookmarkStart w:id="0" w:name="_Ref358291343"/>
      <w:bookmarkStart w:id="1" w:name="_Ref358632470"/>
      <w:bookmarkStart w:id="2" w:name="_Ref358967577"/>
      <w:r>
        <w:t>Tutorial</w:t>
      </w:r>
      <w:r w:rsidR="00082F0B" w:rsidRPr="00BE4329">
        <w:t xml:space="preserve"> </w:t>
      </w:r>
      <w:r w:rsidR="00602AAD">
        <w:t>–</w:t>
      </w:r>
      <w:r w:rsidR="00082F0B" w:rsidRPr="00BE4329">
        <w:t xml:space="preserve"> </w:t>
      </w:r>
      <w:bookmarkEnd w:id="0"/>
      <w:bookmarkEnd w:id="1"/>
      <w:r w:rsidR="00815006">
        <w:t xml:space="preserve">Building circuits &amp; using a </w:t>
      </w:r>
      <w:proofErr w:type="spellStart"/>
      <w:r w:rsidR="00815006">
        <w:t>multimeter</w:t>
      </w:r>
      <w:proofErr w:type="spellEnd"/>
      <w:r w:rsidR="00815006">
        <w:t xml:space="preserve">   </w:t>
      </w:r>
      <w:bookmarkEnd w:id="2"/>
    </w:p>
    <w:p w:rsidR="00216A20" w:rsidRDefault="00216A20" w:rsidP="00AF24E4">
      <w:pPr>
        <w:pStyle w:val="Heading2"/>
      </w:pPr>
      <w:r>
        <w:t>Building circuits</w:t>
      </w:r>
    </w:p>
    <w:p w:rsidR="00CB772C" w:rsidRPr="00BB30CA" w:rsidRDefault="00815006" w:rsidP="00BB30CA">
      <w:pPr>
        <w:pStyle w:val="Heading3"/>
      </w:pPr>
      <w:r w:rsidRPr="00BB30CA">
        <w:t xml:space="preserve">The </w:t>
      </w:r>
      <w:proofErr w:type="spellStart"/>
      <w:r w:rsidRPr="00BB30CA">
        <w:t>solderless</w:t>
      </w:r>
      <w:proofErr w:type="spellEnd"/>
      <w:r w:rsidRPr="00BB30CA">
        <w:t xml:space="preserve"> breadboard</w:t>
      </w:r>
    </w:p>
    <w:p w:rsidR="00DD3E2C" w:rsidRDefault="004F59AA" w:rsidP="004F59AA">
      <w:r>
        <w:t xml:space="preserve">You will be using a breadboard to prepare your electrical circuits. The breadboard is a </w:t>
      </w:r>
      <w:proofErr w:type="spellStart"/>
      <w:r>
        <w:t>solderless</w:t>
      </w:r>
      <w:proofErr w:type="spellEnd"/>
      <w:r>
        <w:t xml:space="preserve"> board that allows you to quickly prepare and test simple electronic circuits. </w:t>
      </w:r>
      <w:r w:rsidR="005A3770" w:rsidRPr="005A3770">
        <w:rPr>
          <w:rStyle w:val="CrossRefChar"/>
        </w:rPr>
        <w:fldChar w:fldCharType="begin"/>
      </w:r>
      <w:r w:rsidR="005A3770" w:rsidRPr="005A3770">
        <w:rPr>
          <w:rStyle w:val="CrossRefChar"/>
        </w:rPr>
        <w:instrText xml:space="preserve"> REF _Ref362441159 \h </w:instrText>
      </w:r>
      <w:r w:rsidR="005A3770">
        <w:rPr>
          <w:rStyle w:val="CrossRefChar"/>
        </w:rPr>
        <w:instrText xml:space="preserve"> \* MERGEFORMAT </w:instrText>
      </w:r>
      <w:r w:rsidR="005A3770" w:rsidRPr="005A3770">
        <w:rPr>
          <w:rStyle w:val="CrossRefChar"/>
        </w:rPr>
      </w:r>
      <w:r w:rsidR="005A3770" w:rsidRPr="005A3770">
        <w:rPr>
          <w:rStyle w:val="CrossRefChar"/>
        </w:rPr>
        <w:fldChar w:fldCharType="separate"/>
      </w:r>
      <w:r w:rsidR="00E448C3" w:rsidRPr="00E448C3">
        <w:rPr>
          <w:rStyle w:val="CrossRefChar"/>
        </w:rPr>
        <w:t>Figure 1</w:t>
      </w:r>
      <w:r w:rsidR="005A3770" w:rsidRPr="005A3770">
        <w:rPr>
          <w:rStyle w:val="CrossRefChar"/>
        </w:rPr>
        <w:fldChar w:fldCharType="end"/>
      </w:r>
      <w:r w:rsidR="005A3770">
        <w:rPr>
          <w:rStyle w:val="CrossRefChar"/>
        </w:rPr>
        <w:t>a</w:t>
      </w:r>
      <w:r>
        <w:t xml:space="preserve"> below presents an example of a breadboard while </w:t>
      </w:r>
      <w:r w:rsidR="005A3770" w:rsidRPr="005A3770">
        <w:rPr>
          <w:rStyle w:val="CrossRefChar"/>
        </w:rPr>
        <w:fldChar w:fldCharType="begin"/>
      </w:r>
      <w:r w:rsidR="005A3770" w:rsidRPr="005A3770">
        <w:rPr>
          <w:rStyle w:val="CrossRefChar"/>
        </w:rPr>
        <w:instrText xml:space="preserve"> REF _Ref362441159 \h </w:instrText>
      </w:r>
      <w:r w:rsidR="005A3770">
        <w:rPr>
          <w:rStyle w:val="CrossRefChar"/>
        </w:rPr>
        <w:instrText xml:space="preserve"> \* MERGEFORMAT </w:instrText>
      </w:r>
      <w:r w:rsidR="005A3770" w:rsidRPr="005A3770">
        <w:rPr>
          <w:rStyle w:val="CrossRefChar"/>
        </w:rPr>
      </w:r>
      <w:r w:rsidR="005A3770" w:rsidRPr="005A3770">
        <w:rPr>
          <w:rStyle w:val="CrossRefChar"/>
        </w:rPr>
        <w:fldChar w:fldCharType="separate"/>
      </w:r>
      <w:r w:rsidR="00E448C3" w:rsidRPr="00E448C3">
        <w:rPr>
          <w:rStyle w:val="CrossRefChar"/>
        </w:rPr>
        <w:t>Figure 1</w:t>
      </w:r>
      <w:r w:rsidR="005A3770" w:rsidRPr="005A3770">
        <w:rPr>
          <w:rStyle w:val="CrossRefChar"/>
        </w:rPr>
        <w:fldChar w:fldCharType="end"/>
      </w:r>
      <w:r w:rsidR="005A3770">
        <w:rPr>
          <w:rStyle w:val="CrossRefChar"/>
        </w:rPr>
        <w:t>b</w:t>
      </w:r>
      <w:r w:rsidR="005A3770" w:rsidRPr="005A3770">
        <w:t xml:space="preserve"> </w:t>
      </w:r>
      <w:r>
        <w:t>shows the internal connection pattern (the interconnected breadboard holes are indicated by the solid lines).</w:t>
      </w:r>
    </w:p>
    <w:p w:rsidR="004F59AA" w:rsidRDefault="004F59AA" w:rsidP="004F59AA"/>
    <w:p w:rsidR="005A3770" w:rsidRDefault="004F59AA" w:rsidP="005A3770">
      <w:pPr>
        <w:keepNext/>
        <w:jc w:val="center"/>
      </w:pPr>
      <w:r>
        <w:rPr>
          <w:noProof/>
          <w:lang w:eastAsia="en-CA"/>
        </w:rPr>
        <w:drawing>
          <wp:inline distT="0" distB="0" distL="0" distR="0" wp14:anchorId="7C0F6D81" wp14:editId="76E8ECDD">
            <wp:extent cx="594360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board.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247900"/>
                    </a:xfrm>
                    <a:prstGeom prst="rect">
                      <a:avLst/>
                    </a:prstGeom>
                  </pic:spPr>
                </pic:pic>
              </a:graphicData>
            </a:graphic>
          </wp:inline>
        </w:drawing>
      </w:r>
    </w:p>
    <w:p w:rsidR="005A3770" w:rsidRDefault="005A3770" w:rsidP="005A3770">
      <w:pPr>
        <w:keepNext/>
        <w:jc w:val="center"/>
      </w:pPr>
    </w:p>
    <w:p w:rsidR="004F59AA" w:rsidRDefault="005A3770" w:rsidP="005A3770">
      <w:pPr>
        <w:pStyle w:val="Caption"/>
      </w:pPr>
      <w:bookmarkStart w:id="3" w:name="_Ref362441159"/>
      <w:r>
        <w:t xml:space="preserve">Figure </w:t>
      </w:r>
      <w:r w:rsidR="00B153C0">
        <w:fldChar w:fldCharType="begin"/>
      </w:r>
      <w:r w:rsidR="00B153C0">
        <w:instrText xml:space="preserve"> SEQ Figure \* ARABIC</w:instrText>
      </w:r>
      <w:r w:rsidR="00B153C0">
        <w:instrText xml:space="preserve"> </w:instrText>
      </w:r>
      <w:r w:rsidR="00B153C0">
        <w:fldChar w:fldCharType="separate"/>
      </w:r>
      <w:r w:rsidR="00C26C5A">
        <w:rPr>
          <w:noProof/>
        </w:rPr>
        <w:t>1</w:t>
      </w:r>
      <w:r w:rsidR="00B153C0">
        <w:rPr>
          <w:noProof/>
        </w:rPr>
        <w:fldChar w:fldCharType="end"/>
      </w:r>
      <w:bookmarkEnd w:id="3"/>
      <w:r>
        <w:t xml:space="preserve"> - (a) A </w:t>
      </w:r>
      <w:proofErr w:type="spellStart"/>
      <w:r>
        <w:t>solderless</w:t>
      </w:r>
      <w:proofErr w:type="spellEnd"/>
      <w:r>
        <w:t xml:space="preserve"> breadboard as the one you will use in the physics laboratory. (b) The hidden connection pattern. </w:t>
      </w:r>
    </w:p>
    <w:p w:rsidR="00FE44B2" w:rsidRDefault="005A3770" w:rsidP="005A3770">
      <w:r>
        <w:t>Circuits are built on a breadboard simply by inserting wires and components such as resistors or capacitors in</w:t>
      </w:r>
      <w:r w:rsidR="000C47FD">
        <w:t xml:space="preserve"> the holes of the board. </w:t>
      </w:r>
      <w:r w:rsidR="003E4326">
        <w:fldChar w:fldCharType="begin"/>
      </w:r>
      <w:r w:rsidR="003E4326">
        <w:instrText xml:space="preserve"> REF _Ref362443376 \h </w:instrText>
      </w:r>
      <w:r w:rsidR="003E4326">
        <w:fldChar w:fldCharType="separate"/>
      </w:r>
      <w:r w:rsidR="00E448C3">
        <w:t xml:space="preserve">Figure </w:t>
      </w:r>
      <w:r w:rsidR="00E448C3">
        <w:rPr>
          <w:noProof/>
        </w:rPr>
        <w:t>2</w:t>
      </w:r>
      <w:r w:rsidR="003E4326">
        <w:fldChar w:fldCharType="end"/>
      </w:r>
      <w:r w:rsidR="003E4326">
        <w:t xml:space="preserve"> presents an example of a simple circuit and the way it can be reproduced using a breadboard. The red and blue horizontal lines are called bus strips are typically used to connect to the power supply (red is positive and blue is negative or grounded).</w:t>
      </w:r>
      <w:r w:rsidR="00154BFF">
        <w:t xml:space="preserve"> This way, power can be brought to any part of the breadboard using sort wires to connect the bus lines to </w:t>
      </w:r>
      <w:r w:rsidR="00FB3C2D">
        <w:t xml:space="preserve">the terminal strips (black lines). </w:t>
      </w:r>
    </w:p>
    <w:p w:rsidR="00FE44B2" w:rsidRDefault="00FE44B2" w:rsidP="005A3770"/>
    <w:p w:rsidR="003E4326" w:rsidRDefault="00FE44B2" w:rsidP="003E4326">
      <w:pPr>
        <w:keepNext/>
        <w:jc w:val="center"/>
      </w:pPr>
      <w:r>
        <w:rPr>
          <w:noProof/>
          <w:lang w:eastAsia="en-CA"/>
        </w:rPr>
        <w:drawing>
          <wp:inline distT="0" distB="0" distL="0" distR="0" wp14:anchorId="60D3D5FD" wp14:editId="39C546EB">
            <wp:extent cx="59436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board_2.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057400"/>
                    </a:xfrm>
                    <a:prstGeom prst="rect">
                      <a:avLst/>
                    </a:prstGeom>
                  </pic:spPr>
                </pic:pic>
              </a:graphicData>
            </a:graphic>
          </wp:inline>
        </w:drawing>
      </w:r>
    </w:p>
    <w:p w:rsidR="003E4326" w:rsidRDefault="003E4326" w:rsidP="003E4326">
      <w:pPr>
        <w:pStyle w:val="Caption"/>
      </w:pPr>
    </w:p>
    <w:p w:rsidR="003E4326" w:rsidRDefault="003E4326" w:rsidP="003E4326">
      <w:pPr>
        <w:pStyle w:val="Caption"/>
      </w:pPr>
      <w:bookmarkStart w:id="4" w:name="_Ref362443376"/>
      <w:r>
        <w:t xml:space="preserve">Figure </w:t>
      </w:r>
      <w:r w:rsidR="00B153C0">
        <w:fldChar w:fldCharType="begin"/>
      </w:r>
      <w:r w:rsidR="00B153C0">
        <w:instrText xml:space="preserve"> SEQ Fi</w:instrText>
      </w:r>
      <w:r w:rsidR="00B153C0">
        <w:instrText xml:space="preserve">gure \* ARABIC </w:instrText>
      </w:r>
      <w:r w:rsidR="00B153C0">
        <w:fldChar w:fldCharType="separate"/>
      </w:r>
      <w:r w:rsidR="00C26C5A">
        <w:rPr>
          <w:noProof/>
        </w:rPr>
        <w:t>2</w:t>
      </w:r>
      <w:r w:rsidR="00B153C0">
        <w:rPr>
          <w:noProof/>
        </w:rPr>
        <w:fldChar w:fldCharType="end"/>
      </w:r>
      <w:bookmarkEnd w:id="4"/>
      <w:r>
        <w:t xml:space="preserve"> - (a) Circuit diagram of a resistor connected in series with a</w:t>
      </w:r>
      <w:r>
        <w:rPr>
          <w:noProof/>
        </w:rPr>
        <w:t xml:space="preserve"> pair of resistors connected in parallel. (b) How to prepare the circuit presented in (a) using the hidden connections of a breadboard.  </w:t>
      </w:r>
    </w:p>
    <w:p w:rsidR="00E448C3" w:rsidRDefault="00E448C3" w:rsidP="00E448C3">
      <w:pPr>
        <w:pStyle w:val="Heading3"/>
      </w:pPr>
      <w:r>
        <w:lastRenderedPageBreak/>
        <w:t>Circuit diagrams</w:t>
      </w:r>
    </w:p>
    <w:p w:rsidR="00E448C3" w:rsidRPr="00E448C3" w:rsidRDefault="00E448C3" w:rsidP="00E448C3">
      <w:pPr>
        <w:rPr>
          <w:lang w:val="en-GB"/>
        </w:rPr>
      </w:pPr>
      <w:r>
        <w:rPr>
          <w:lang w:val="en-GB"/>
        </w:rPr>
        <w:t xml:space="preserve">In </w:t>
      </w:r>
      <w:r w:rsidRPr="00E448C3">
        <w:rPr>
          <w:rStyle w:val="CrossRefChar"/>
        </w:rPr>
        <w:fldChar w:fldCharType="begin"/>
      </w:r>
      <w:r w:rsidRPr="00E448C3">
        <w:rPr>
          <w:rStyle w:val="CrossRefChar"/>
        </w:rPr>
        <w:instrText xml:space="preserve"> REF _Ref362443376 \h </w:instrText>
      </w:r>
      <w:r>
        <w:rPr>
          <w:rStyle w:val="CrossRefChar"/>
        </w:rPr>
        <w:instrText xml:space="preserve"> \* MERGEFORMAT </w:instrText>
      </w:r>
      <w:r w:rsidRPr="00E448C3">
        <w:rPr>
          <w:rStyle w:val="CrossRefChar"/>
        </w:rPr>
      </w:r>
      <w:r w:rsidRPr="00E448C3">
        <w:rPr>
          <w:rStyle w:val="CrossRefChar"/>
        </w:rPr>
        <w:fldChar w:fldCharType="separate"/>
      </w:r>
      <w:r w:rsidRPr="00E448C3">
        <w:rPr>
          <w:rStyle w:val="CrossRefChar"/>
        </w:rPr>
        <w:t>Figure 2</w:t>
      </w:r>
      <w:r w:rsidRPr="00E448C3">
        <w:rPr>
          <w:rStyle w:val="CrossRefChar"/>
        </w:rPr>
        <w:fldChar w:fldCharType="end"/>
      </w:r>
      <w:r w:rsidRPr="00E448C3">
        <w:rPr>
          <w:rStyle w:val="CrossRefChar"/>
        </w:rPr>
        <w:t>a</w:t>
      </w:r>
      <w:r>
        <w:rPr>
          <w:lang w:val="en-GB"/>
        </w:rPr>
        <w:t xml:space="preserve">, we presented the circuit diagram of a resistor connected in series with two other connected in parallel.  During your physics labs, you will have to read such circuit diagrams and assemble the corresponding circuits. </w:t>
      </w:r>
      <w:r w:rsidRPr="00E448C3">
        <w:rPr>
          <w:rStyle w:val="CrossRefChar"/>
        </w:rPr>
        <w:fldChar w:fldCharType="begin"/>
      </w:r>
      <w:r w:rsidRPr="00E448C3">
        <w:rPr>
          <w:rStyle w:val="CrossRefChar"/>
        </w:rPr>
        <w:instrText xml:space="preserve"> REF _Ref362599514 \h </w:instrText>
      </w:r>
      <w:r>
        <w:rPr>
          <w:rStyle w:val="CrossRefChar"/>
        </w:rPr>
        <w:instrText xml:space="preserve"> \* MERGEFORMAT </w:instrText>
      </w:r>
      <w:r w:rsidRPr="00E448C3">
        <w:rPr>
          <w:rStyle w:val="CrossRefChar"/>
        </w:rPr>
      </w:r>
      <w:r w:rsidRPr="00E448C3">
        <w:rPr>
          <w:rStyle w:val="CrossRefChar"/>
        </w:rPr>
        <w:fldChar w:fldCharType="separate"/>
      </w:r>
      <w:r w:rsidRPr="00E448C3">
        <w:rPr>
          <w:rStyle w:val="CrossRefChar"/>
        </w:rPr>
        <w:t>Figure 3</w:t>
      </w:r>
      <w:r w:rsidRPr="00E448C3">
        <w:rPr>
          <w:rStyle w:val="CrossRefChar"/>
        </w:rPr>
        <w:fldChar w:fldCharType="end"/>
      </w:r>
      <w:r>
        <w:rPr>
          <w:lang w:val="en-GB"/>
        </w:rPr>
        <w:t xml:space="preserve"> presents symbols we will use to represent the components (power supply, capacitor and resistor) and the measuring instruments (voltmeter, ammeter and ohmmeter) you will be working with during your physics labs. </w:t>
      </w:r>
    </w:p>
    <w:p w:rsidR="00E448C3" w:rsidRPr="00E448C3" w:rsidRDefault="00E448C3" w:rsidP="00E448C3">
      <w:pPr>
        <w:rPr>
          <w:lang w:val="en-GB"/>
        </w:rPr>
      </w:pPr>
    </w:p>
    <w:p w:rsidR="00E448C3" w:rsidRDefault="00216A20" w:rsidP="00E448C3">
      <w:pPr>
        <w:keepNext/>
        <w:jc w:val="center"/>
      </w:pPr>
      <w:r>
        <w:rPr>
          <w:noProof/>
          <w:lang w:eastAsia="en-CA"/>
        </w:rPr>
        <w:drawing>
          <wp:inline distT="0" distB="0" distL="0" distR="0" wp14:anchorId="680AFF6D" wp14:editId="08F5F25C">
            <wp:extent cx="4150800" cy="15624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s_symbols.png"/>
                    <pic:cNvPicPr/>
                  </pic:nvPicPr>
                  <pic:blipFill>
                    <a:blip r:embed="rId11">
                      <a:extLst>
                        <a:ext uri="{28A0092B-C50C-407E-A947-70E740481C1C}">
                          <a14:useLocalDpi xmlns:a14="http://schemas.microsoft.com/office/drawing/2010/main" val="0"/>
                        </a:ext>
                      </a:extLst>
                    </a:blip>
                    <a:stretch>
                      <a:fillRect/>
                    </a:stretch>
                  </pic:blipFill>
                  <pic:spPr>
                    <a:xfrm>
                      <a:off x="0" y="0"/>
                      <a:ext cx="4150800" cy="1562400"/>
                    </a:xfrm>
                    <a:prstGeom prst="rect">
                      <a:avLst/>
                    </a:prstGeom>
                  </pic:spPr>
                </pic:pic>
              </a:graphicData>
            </a:graphic>
          </wp:inline>
        </w:drawing>
      </w:r>
    </w:p>
    <w:p w:rsidR="00E448C3" w:rsidRDefault="00E448C3" w:rsidP="00E448C3">
      <w:pPr>
        <w:keepNext/>
        <w:jc w:val="center"/>
      </w:pPr>
    </w:p>
    <w:p w:rsidR="00216A20" w:rsidRDefault="00E448C3" w:rsidP="00E448C3">
      <w:pPr>
        <w:pStyle w:val="Caption"/>
      </w:pPr>
      <w:bookmarkStart w:id="5" w:name="_Ref362599514"/>
      <w:r>
        <w:t xml:space="preserve">Figure </w:t>
      </w:r>
      <w:r w:rsidR="00B153C0">
        <w:fldChar w:fldCharType="begin"/>
      </w:r>
      <w:r w:rsidR="00B153C0">
        <w:instrText xml:space="preserve"> SEQ Figure \* ARABIC </w:instrText>
      </w:r>
      <w:r w:rsidR="00B153C0">
        <w:fldChar w:fldCharType="separate"/>
      </w:r>
      <w:r w:rsidR="00C26C5A">
        <w:rPr>
          <w:noProof/>
        </w:rPr>
        <w:t>3</w:t>
      </w:r>
      <w:r w:rsidR="00B153C0">
        <w:rPr>
          <w:noProof/>
        </w:rPr>
        <w:fldChar w:fldCharType="end"/>
      </w:r>
      <w:bookmarkEnd w:id="5"/>
      <w:r>
        <w:t xml:space="preserve"> - Components and apparatus used in circuit diagram for the physics labs.</w:t>
      </w:r>
    </w:p>
    <w:p w:rsidR="00E448C3" w:rsidRPr="00E448C3" w:rsidRDefault="00E448C3" w:rsidP="00E448C3"/>
    <w:p w:rsidR="005A3770" w:rsidRDefault="004F2927" w:rsidP="004F2927">
      <w:pPr>
        <w:pStyle w:val="Heading2"/>
      </w:pPr>
      <w:r>
        <w:t xml:space="preserve">The </w:t>
      </w:r>
      <w:proofErr w:type="spellStart"/>
      <w:r>
        <w:t>multimeter</w:t>
      </w:r>
      <w:proofErr w:type="spellEnd"/>
    </w:p>
    <w:p w:rsidR="004F2927" w:rsidRDefault="00837CB0" w:rsidP="005A3770">
      <w:r>
        <w:t xml:space="preserve">You might have already seen or worked with a </w:t>
      </w:r>
      <w:proofErr w:type="spellStart"/>
      <w:r>
        <w:t>multimeter</w:t>
      </w:r>
      <w:proofErr w:type="spellEnd"/>
      <w:r>
        <w:t xml:space="preserve">.  It is an electronic measuring device that combines several instruments such as the voltmeter (to measure the voltage) or the ammeter (to measure the current) in one apparatus. </w:t>
      </w:r>
      <w:r w:rsidR="00124086">
        <w:t xml:space="preserve">The </w:t>
      </w:r>
      <w:proofErr w:type="spellStart"/>
      <w:r w:rsidR="00124086">
        <w:t>multimeter</w:t>
      </w:r>
      <w:proofErr w:type="spellEnd"/>
      <w:r w:rsidR="00124086">
        <w:t xml:space="preserve"> is usually a standalone instrument that</w:t>
      </w:r>
      <w:r>
        <w:t xml:space="preserve"> </w:t>
      </w:r>
      <w:r w:rsidR="00124086">
        <w:t xml:space="preserve">you can carry around to do measurements. However, the </w:t>
      </w:r>
      <w:proofErr w:type="spellStart"/>
      <w:r w:rsidR="00124086">
        <w:t>multimeter</w:t>
      </w:r>
      <w:proofErr w:type="spellEnd"/>
      <w:r w:rsidR="00124086">
        <w:t xml:space="preserve"> you will use for your physics labs is slightly different than that.  It is part of a data acquisition device called </w:t>
      </w:r>
      <w:proofErr w:type="spellStart"/>
      <w:r w:rsidR="00124086">
        <w:t>myDAQ</w:t>
      </w:r>
      <w:proofErr w:type="spellEnd"/>
      <w:r w:rsidR="00124086">
        <w:t xml:space="preserve"> (from National Instrument</w:t>
      </w:r>
      <w:r w:rsidR="00C76182">
        <w:t xml:space="preserve">, see </w:t>
      </w:r>
      <w:r w:rsidR="00C76182" w:rsidRPr="00C76182">
        <w:rPr>
          <w:rStyle w:val="CrossRefChar"/>
        </w:rPr>
        <w:fldChar w:fldCharType="begin"/>
      </w:r>
      <w:r w:rsidR="00C76182" w:rsidRPr="00C76182">
        <w:rPr>
          <w:rStyle w:val="CrossRefChar"/>
        </w:rPr>
        <w:instrText xml:space="preserve"> REF _Ref362598562 \h </w:instrText>
      </w:r>
      <w:r w:rsidR="00C76182">
        <w:rPr>
          <w:rStyle w:val="CrossRefChar"/>
        </w:rPr>
        <w:instrText xml:space="preserve"> \* MERGEFORMAT </w:instrText>
      </w:r>
      <w:r w:rsidR="00C76182" w:rsidRPr="00C76182">
        <w:rPr>
          <w:rStyle w:val="CrossRefChar"/>
        </w:rPr>
      </w:r>
      <w:r w:rsidR="00C76182" w:rsidRPr="00C76182">
        <w:rPr>
          <w:rStyle w:val="CrossRefChar"/>
        </w:rPr>
        <w:fldChar w:fldCharType="separate"/>
      </w:r>
      <w:r w:rsidR="00E448C3" w:rsidRPr="00E448C3">
        <w:rPr>
          <w:rStyle w:val="CrossRefChar"/>
        </w:rPr>
        <w:t>Figure 4</w:t>
      </w:r>
      <w:r w:rsidR="00C76182" w:rsidRPr="00C76182">
        <w:rPr>
          <w:rStyle w:val="CrossRefChar"/>
        </w:rPr>
        <w:fldChar w:fldCharType="end"/>
      </w:r>
      <w:r w:rsidR="00124086">
        <w:t xml:space="preserve">) that </w:t>
      </w:r>
      <w:r w:rsidR="00124086" w:rsidRPr="00124086">
        <w:t xml:space="preserve">features eight commonly used plug-and-play computer-based lab instruments based on </w:t>
      </w:r>
      <w:proofErr w:type="spellStart"/>
      <w:r w:rsidR="00124086" w:rsidRPr="00124086">
        <w:t>LabVIEW</w:t>
      </w:r>
      <w:proofErr w:type="spellEnd"/>
      <w:r w:rsidR="00124086" w:rsidRPr="00124086">
        <w:t xml:space="preserve"> including a digital </w:t>
      </w:r>
      <w:proofErr w:type="spellStart"/>
      <w:r w:rsidR="00124086" w:rsidRPr="00124086">
        <w:t>multimeter</w:t>
      </w:r>
      <w:proofErr w:type="spellEnd"/>
      <w:r w:rsidR="00124086" w:rsidRPr="00124086">
        <w:t xml:space="preserve"> (DMM), oscilloscope, and function generator.</w:t>
      </w:r>
      <w:r w:rsidR="004A258A">
        <w:t xml:space="preserve"> The </w:t>
      </w:r>
      <w:proofErr w:type="spellStart"/>
      <w:r w:rsidR="004A258A">
        <w:t>myDAQ</w:t>
      </w:r>
      <w:proofErr w:type="spellEnd"/>
      <w:r w:rsidR="004A258A">
        <w:t xml:space="preserve"> </w:t>
      </w:r>
      <w:r w:rsidR="004A258A" w:rsidRPr="004A258A">
        <w:t>is a small portable data acquisition system, which connects to your computer with a USB cable.</w:t>
      </w:r>
      <w:r w:rsidR="00C76182">
        <w:t xml:space="preserve"> These instruments are controlled using software interfaces such as the one presented in </w:t>
      </w:r>
      <w:r w:rsidR="00C76182" w:rsidRPr="00C76182">
        <w:rPr>
          <w:rStyle w:val="CrossRefChar"/>
        </w:rPr>
        <w:fldChar w:fldCharType="begin"/>
      </w:r>
      <w:r w:rsidR="00C76182" w:rsidRPr="00C76182">
        <w:rPr>
          <w:rStyle w:val="CrossRefChar"/>
        </w:rPr>
        <w:instrText xml:space="preserve"> REF _Ref362598728 \h </w:instrText>
      </w:r>
      <w:r w:rsidR="00C76182">
        <w:rPr>
          <w:rStyle w:val="CrossRefChar"/>
        </w:rPr>
        <w:instrText xml:space="preserve"> \* MERGEFORMAT </w:instrText>
      </w:r>
      <w:r w:rsidR="00C76182" w:rsidRPr="00C76182">
        <w:rPr>
          <w:rStyle w:val="CrossRefChar"/>
        </w:rPr>
      </w:r>
      <w:r w:rsidR="00C76182" w:rsidRPr="00C76182">
        <w:rPr>
          <w:rStyle w:val="CrossRefChar"/>
        </w:rPr>
        <w:fldChar w:fldCharType="separate"/>
      </w:r>
      <w:r w:rsidR="00E448C3" w:rsidRPr="00E448C3">
        <w:rPr>
          <w:rStyle w:val="CrossRefChar"/>
        </w:rPr>
        <w:t>Figure 5</w:t>
      </w:r>
      <w:r w:rsidR="00C76182" w:rsidRPr="00C76182">
        <w:rPr>
          <w:rStyle w:val="CrossRefChar"/>
        </w:rPr>
        <w:fldChar w:fldCharType="end"/>
      </w:r>
      <w:r w:rsidR="00C76182">
        <w:t xml:space="preserve"> (the </w:t>
      </w:r>
      <w:proofErr w:type="spellStart"/>
      <w:r w:rsidR="00C76182">
        <w:t>multimeter</w:t>
      </w:r>
      <w:proofErr w:type="spellEnd"/>
      <w:r w:rsidR="00C76182">
        <w:t>).</w:t>
      </w:r>
      <w:r w:rsidR="00216A20">
        <w:t xml:space="preserve"> In the following sections, we will show you how to make simple measurements with this </w:t>
      </w:r>
      <w:proofErr w:type="spellStart"/>
      <w:r w:rsidR="00216A20">
        <w:t>multimeter</w:t>
      </w:r>
      <w:proofErr w:type="spellEnd"/>
      <w:r w:rsidR="00216A20">
        <w:t xml:space="preserve">. </w:t>
      </w:r>
    </w:p>
    <w:p w:rsidR="005308B3" w:rsidRDefault="005308B3" w:rsidP="005A37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675D3" w:rsidTr="00EF3BB7">
        <w:tc>
          <w:tcPr>
            <w:tcW w:w="4788" w:type="dxa"/>
            <w:vAlign w:val="center"/>
          </w:tcPr>
          <w:p w:rsidR="00E675D3" w:rsidRDefault="00E675D3" w:rsidP="00EF3BB7">
            <w:pPr>
              <w:keepNext/>
              <w:jc w:val="center"/>
            </w:pPr>
            <w:r>
              <w:rPr>
                <w:noProof/>
                <w:lang w:eastAsia="en-CA"/>
              </w:rPr>
              <w:drawing>
                <wp:inline distT="0" distB="0" distL="0" distR="0" wp14:anchorId="7CB664D7" wp14:editId="7C4773F4">
                  <wp:extent cx="2527200" cy="2185200"/>
                  <wp:effectExtent l="0" t="0" r="6985" b="5715"/>
                  <wp:docPr id="3" name="Picture 3" descr="http://www.4science.net/Design/item/item_image/29mydaq-3d-view%5b3%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science.net/Design/item/item_image/29mydaq-3d-view%5b3%5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7200" cy="2185200"/>
                          </a:xfrm>
                          <a:prstGeom prst="rect">
                            <a:avLst/>
                          </a:prstGeom>
                          <a:noFill/>
                          <a:ln>
                            <a:noFill/>
                          </a:ln>
                        </pic:spPr>
                      </pic:pic>
                    </a:graphicData>
                  </a:graphic>
                </wp:inline>
              </w:drawing>
            </w:r>
          </w:p>
        </w:tc>
        <w:tc>
          <w:tcPr>
            <w:tcW w:w="4788" w:type="dxa"/>
            <w:vAlign w:val="center"/>
          </w:tcPr>
          <w:p w:rsidR="00E675D3" w:rsidRDefault="00E675D3" w:rsidP="00E675D3">
            <w:pPr>
              <w:keepNext/>
              <w:jc w:val="center"/>
            </w:pPr>
            <w:r>
              <w:rPr>
                <w:noProof/>
                <w:lang w:eastAsia="en-CA"/>
              </w:rPr>
              <w:drawing>
                <wp:inline distT="0" distB="0" distL="0" distR="0" wp14:anchorId="043F43B8" wp14:editId="0A15AC3C">
                  <wp:extent cx="1724400" cy="2149200"/>
                  <wp:effectExtent l="0" t="0" r="9525" b="3810"/>
                  <wp:docPr id="4" name="Picture 4" descr="http://ecee.colorado.edu/~mathys/ecen2250/notes/myDAQ/Start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ee.colorado.edu/~mathys/ecen2250/notes/myDAQ/Start_0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400" cy="2149200"/>
                          </a:xfrm>
                          <a:prstGeom prst="rect">
                            <a:avLst/>
                          </a:prstGeom>
                          <a:noFill/>
                          <a:ln>
                            <a:noFill/>
                          </a:ln>
                        </pic:spPr>
                      </pic:pic>
                    </a:graphicData>
                  </a:graphic>
                </wp:inline>
              </w:drawing>
            </w:r>
          </w:p>
        </w:tc>
      </w:tr>
      <w:tr w:rsidR="00E675D3" w:rsidTr="00E675D3">
        <w:tc>
          <w:tcPr>
            <w:tcW w:w="4788" w:type="dxa"/>
          </w:tcPr>
          <w:p w:rsidR="00E675D3" w:rsidRDefault="00E675D3" w:rsidP="004A258A">
            <w:pPr>
              <w:pStyle w:val="Caption"/>
              <w:jc w:val="left"/>
            </w:pPr>
            <w:bookmarkStart w:id="6" w:name="_Ref362598562"/>
            <w:r>
              <w:t xml:space="preserve">Figure </w:t>
            </w:r>
            <w:fldSimple w:instr=" SEQ Figure \* ARABIC ">
              <w:r w:rsidR="00C26C5A">
                <w:rPr>
                  <w:noProof/>
                </w:rPr>
                <w:t>4</w:t>
              </w:r>
            </w:fldSimple>
            <w:bookmarkEnd w:id="6"/>
            <w:r>
              <w:t xml:space="preserve"> – The </w:t>
            </w:r>
            <w:proofErr w:type="spellStart"/>
            <w:r>
              <w:t>myDAQ</w:t>
            </w:r>
            <w:proofErr w:type="spellEnd"/>
            <w:r>
              <w:t xml:space="preserve"> from National Instrument. </w:t>
            </w:r>
          </w:p>
        </w:tc>
        <w:tc>
          <w:tcPr>
            <w:tcW w:w="4788" w:type="dxa"/>
          </w:tcPr>
          <w:p w:rsidR="00E675D3" w:rsidRDefault="00E675D3" w:rsidP="00E675D3">
            <w:pPr>
              <w:pStyle w:val="Caption"/>
              <w:jc w:val="left"/>
              <w:rPr>
                <w:noProof/>
                <w:lang w:eastAsia="en-CA"/>
              </w:rPr>
            </w:pPr>
            <w:bookmarkStart w:id="7" w:name="_Ref362598728"/>
            <w:r>
              <w:t xml:space="preserve">Figure </w:t>
            </w:r>
            <w:fldSimple w:instr=" SEQ Figure \* ARABIC ">
              <w:r w:rsidR="00C26C5A">
                <w:rPr>
                  <w:noProof/>
                </w:rPr>
                <w:t>5</w:t>
              </w:r>
            </w:fldSimple>
            <w:bookmarkEnd w:id="7"/>
            <w:r>
              <w:t xml:space="preserve"> – Screenshot of the virtual digital </w:t>
            </w:r>
            <w:proofErr w:type="spellStart"/>
            <w:r>
              <w:t>multimeter</w:t>
            </w:r>
            <w:proofErr w:type="spellEnd"/>
            <w:r>
              <w:t xml:space="preserve"> of the </w:t>
            </w:r>
            <w:proofErr w:type="spellStart"/>
            <w:r>
              <w:t>myDAQ</w:t>
            </w:r>
            <w:proofErr w:type="spellEnd"/>
            <w:r>
              <w:t>.</w:t>
            </w:r>
          </w:p>
        </w:tc>
      </w:tr>
    </w:tbl>
    <w:p w:rsidR="005308B3" w:rsidRDefault="005308B3" w:rsidP="005A3770"/>
    <w:p w:rsidR="00216A20" w:rsidRDefault="00216A20" w:rsidP="00BB30CA">
      <w:pPr>
        <w:pStyle w:val="Heading3"/>
      </w:pPr>
      <w:r>
        <w:lastRenderedPageBreak/>
        <w:t>Measuring the resistance</w:t>
      </w:r>
    </w:p>
    <w:p w:rsidR="00AC6F3F" w:rsidRPr="00AC6F3F" w:rsidRDefault="00AC6F3F" w:rsidP="00AC6F3F">
      <w:pPr>
        <w:rPr>
          <w:lang w:val="en-GB"/>
        </w:rPr>
      </w:pPr>
      <w:r w:rsidRPr="00AC6F3F">
        <w:rPr>
          <w:rStyle w:val="CrossRefChar"/>
        </w:rPr>
        <w:fldChar w:fldCharType="begin"/>
      </w:r>
      <w:r w:rsidRPr="00AC6F3F">
        <w:rPr>
          <w:rStyle w:val="CrossRefChar"/>
        </w:rPr>
        <w:instrText xml:space="preserve"> REF _Ref362600606 \h </w:instrText>
      </w:r>
      <w:r>
        <w:rPr>
          <w:rStyle w:val="CrossRefChar"/>
        </w:rPr>
        <w:instrText xml:space="preserve"> \* MERGEFORMAT </w:instrText>
      </w:r>
      <w:r w:rsidRPr="00AC6F3F">
        <w:rPr>
          <w:rStyle w:val="CrossRefChar"/>
        </w:rPr>
      </w:r>
      <w:r w:rsidRPr="00AC6F3F">
        <w:rPr>
          <w:rStyle w:val="CrossRefChar"/>
        </w:rPr>
        <w:fldChar w:fldCharType="separate"/>
      </w:r>
      <w:r w:rsidRPr="00AC6F3F">
        <w:rPr>
          <w:rStyle w:val="CrossRefChar"/>
        </w:rPr>
        <w:t>Figure 6</w:t>
      </w:r>
      <w:r w:rsidRPr="00AC6F3F">
        <w:rPr>
          <w:rStyle w:val="CrossRefChar"/>
        </w:rPr>
        <w:fldChar w:fldCharType="end"/>
      </w:r>
      <w:r>
        <w:rPr>
          <w:lang w:val="en-GB"/>
        </w:rPr>
        <w:t xml:space="preserve"> presents the circuit diagram for measuring the resistance value of a resistor using an ohmmeter. To use the ohmmeter, you need to select it from the list of instruments in the Digital </w:t>
      </w:r>
      <w:proofErr w:type="spellStart"/>
      <w:r>
        <w:rPr>
          <w:lang w:val="en-GB"/>
        </w:rPr>
        <w:t>Multimeter</w:t>
      </w:r>
      <w:proofErr w:type="spellEnd"/>
      <w:r>
        <w:rPr>
          <w:lang w:val="en-GB"/>
        </w:rPr>
        <w:t xml:space="preserve"> window (see </w:t>
      </w:r>
      <w:r w:rsidRPr="00C76182">
        <w:rPr>
          <w:rStyle w:val="CrossRefChar"/>
        </w:rPr>
        <w:fldChar w:fldCharType="begin"/>
      </w:r>
      <w:r w:rsidRPr="00C76182">
        <w:rPr>
          <w:rStyle w:val="CrossRefChar"/>
        </w:rPr>
        <w:instrText xml:space="preserve"> REF _Ref362598728 \h </w:instrText>
      </w:r>
      <w:r>
        <w:rPr>
          <w:rStyle w:val="CrossRefChar"/>
        </w:rPr>
        <w:instrText xml:space="preserve"> \* MERGEFORMAT </w:instrText>
      </w:r>
      <w:r w:rsidRPr="00C76182">
        <w:rPr>
          <w:rStyle w:val="CrossRefChar"/>
        </w:rPr>
      </w:r>
      <w:r w:rsidRPr="00C76182">
        <w:rPr>
          <w:rStyle w:val="CrossRefChar"/>
        </w:rPr>
        <w:fldChar w:fldCharType="separate"/>
      </w:r>
      <w:r w:rsidRPr="00E448C3">
        <w:rPr>
          <w:rStyle w:val="CrossRefChar"/>
        </w:rPr>
        <w:t>Figure 5</w:t>
      </w:r>
      <w:r w:rsidRPr="00C76182">
        <w:rPr>
          <w:rStyle w:val="CrossRefChar"/>
        </w:rPr>
        <w:fldChar w:fldCharType="end"/>
      </w:r>
      <w:r>
        <w:t xml:space="preserve">, it is represented by the </w:t>
      </w:r>
      <m:oMath>
        <m:r>
          <m:rPr>
            <m:sty m:val="p"/>
          </m:rPr>
          <w:rPr>
            <w:rFonts w:ascii="Cambria Math" w:hAnsi="Cambria Math"/>
          </w:rPr>
          <m:t>Ω</m:t>
        </m:r>
      </m:oMath>
      <w:r>
        <w:t xml:space="preserve"> symbol). </w:t>
      </w:r>
      <w:r>
        <w:rPr>
          <w:lang w:val="en-GB"/>
        </w:rPr>
        <w:t xml:space="preserve">  </w:t>
      </w:r>
    </w:p>
    <w:p w:rsidR="00AC6F3F" w:rsidRDefault="0068388C" w:rsidP="00AC6F3F">
      <w:pPr>
        <w:keepNext/>
      </w:pPr>
      <w:r>
        <w:rPr>
          <w:noProof/>
          <w:lang w:eastAsia="en-CA"/>
        </w:rPr>
        <w:drawing>
          <wp:inline distT="0" distB="0" distL="0" distR="0" wp14:anchorId="712345B1" wp14:editId="7135837F">
            <wp:extent cx="5943600" cy="2068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meter.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068830"/>
                    </a:xfrm>
                    <a:prstGeom prst="rect">
                      <a:avLst/>
                    </a:prstGeom>
                  </pic:spPr>
                </pic:pic>
              </a:graphicData>
            </a:graphic>
          </wp:inline>
        </w:drawing>
      </w:r>
    </w:p>
    <w:p w:rsidR="00AC6F3F" w:rsidRDefault="00AC6F3F" w:rsidP="00AC6F3F">
      <w:pPr>
        <w:keepNext/>
      </w:pPr>
    </w:p>
    <w:p w:rsidR="00216A20" w:rsidRPr="00124086" w:rsidRDefault="00AC6F3F" w:rsidP="00AC6F3F">
      <w:pPr>
        <w:pStyle w:val="Caption"/>
        <w:rPr>
          <w:lang w:val="en-GB"/>
        </w:rPr>
      </w:pPr>
      <w:bookmarkStart w:id="8" w:name="_Ref362600606"/>
      <w:r>
        <w:t xml:space="preserve">Figure </w:t>
      </w:r>
      <w:r w:rsidR="00B153C0">
        <w:fldChar w:fldCharType="begin"/>
      </w:r>
      <w:r w:rsidR="00B153C0">
        <w:instrText xml:space="preserve"> SEQ Figure \* ARABIC </w:instrText>
      </w:r>
      <w:r w:rsidR="00B153C0">
        <w:fldChar w:fldCharType="separate"/>
      </w:r>
      <w:r w:rsidR="00C26C5A">
        <w:rPr>
          <w:noProof/>
        </w:rPr>
        <w:t>6</w:t>
      </w:r>
      <w:r w:rsidR="00B153C0">
        <w:rPr>
          <w:noProof/>
        </w:rPr>
        <w:fldChar w:fldCharType="end"/>
      </w:r>
      <w:bookmarkEnd w:id="8"/>
      <w:r>
        <w:t xml:space="preserve"> - Using the </w:t>
      </w:r>
      <w:proofErr w:type="spellStart"/>
      <w:r>
        <w:t>myDAQ</w:t>
      </w:r>
      <w:proofErr w:type="spellEnd"/>
      <w:r w:rsidR="00C26C5A">
        <w:t xml:space="preserve"> as an ohmmeter</w:t>
      </w:r>
    </w:p>
    <w:p w:rsidR="00F561B4" w:rsidRPr="00F561B4" w:rsidRDefault="00AC6F3F" w:rsidP="00F561B4">
      <w:pPr>
        <w:autoSpaceDE/>
        <w:autoSpaceDN/>
        <w:adjustRightInd/>
        <w:spacing w:after="200" w:line="276" w:lineRule="auto"/>
        <w:textAlignment w:val="auto"/>
      </w:pPr>
      <w:r>
        <w:t xml:space="preserve">In order to correctly report value measured using the </w:t>
      </w:r>
      <w:proofErr w:type="gramStart"/>
      <w:r>
        <w:t>ohmmeter,</w:t>
      </w:r>
      <w:proofErr w:type="gramEnd"/>
      <w:r>
        <w:t xml:space="preserve"> you need to know the uncertainty on the measurement you are making. This uncertainty will depend on the value you measure and the scale of the instrument for that given measurement. </w:t>
      </w:r>
      <w:r w:rsidR="00F561B4">
        <w:t xml:space="preserve">All </w:t>
      </w:r>
      <w:proofErr w:type="spellStart"/>
      <w:r w:rsidR="00F561B4">
        <w:t>multimeters</w:t>
      </w:r>
      <w:proofErr w:type="spellEnd"/>
      <w:r w:rsidR="00F561B4">
        <w:t xml:space="preserve"> have different specification regarding their uncertainties.  The specifications of the </w:t>
      </w:r>
      <w:proofErr w:type="spellStart"/>
      <w:r w:rsidR="00F561B4">
        <w:t>myDAQ</w:t>
      </w:r>
      <w:proofErr w:type="spellEnd"/>
      <w:r w:rsidR="00F561B4">
        <w:t xml:space="preserve"> </w:t>
      </w:r>
      <w:proofErr w:type="spellStart"/>
      <w:r w:rsidR="00F561B4">
        <w:t>multimeter</w:t>
      </w:r>
      <w:proofErr w:type="spellEnd"/>
      <w:r w:rsidR="00F561B4">
        <w:t xml:space="preserve"> are posted here: </w:t>
      </w:r>
      <w:hyperlink r:id="rId15" w:history="1">
        <w:r w:rsidR="00F561B4">
          <w:rPr>
            <w:rStyle w:val="Hyperlink"/>
          </w:rPr>
          <w:t>myDAQ_multimeter_uncertainties.pdf</w:t>
        </w:r>
      </w:hyperlink>
      <w:r w:rsidR="00F561B4">
        <w:t xml:space="preserve">.  </w:t>
      </w:r>
      <w:r w:rsidR="00F561B4">
        <w:tab/>
      </w:r>
      <w:r w:rsidR="00F561B4">
        <w:br/>
      </w:r>
    </w:p>
    <w:p w:rsidR="00F561B4" w:rsidRDefault="00F561B4" w:rsidP="00ED0FCA">
      <w:pPr>
        <w:autoSpaceDE/>
        <w:autoSpaceDN/>
        <w:adjustRightInd/>
        <w:spacing w:after="200" w:line="276" w:lineRule="auto"/>
        <w:ind w:left="851"/>
        <w:textAlignment w:val="auto"/>
        <w:rPr>
          <w:b/>
        </w:rPr>
      </w:pPr>
      <w:r w:rsidRPr="00F561B4">
        <w:rPr>
          <w:b/>
        </w:rPr>
        <w:t>Calculation example:</w:t>
      </w:r>
    </w:p>
    <w:p w:rsidR="00F561B4" w:rsidRDefault="008A15F4" w:rsidP="00ED0FCA">
      <w:pPr>
        <w:autoSpaceDE/>
        <w:autoSpaceDN/>
        <w:adjustRightInd/>
        <w:spacing w:after="200" w:line="276" w:lineRule="auto"/>
        <w:ind w:left="851"/>
        <w:textAlignment w:val="auto"/>
        <w:rPr>
          <w:rFonts w:eastAsiaTheme="minorEastAsia"/>
        </w:rPr>
      </w:pPr>
      <w:r>
        <w:t>Your</w:t>
      </w:r>
      <w:r w:rsidR="00A27A1D">
        <w:t xml:space="preserve"> ohmmeter has a reading of 12.06</w:t>
      </w:r>
      <w:r>
        <w:t xml:space="preserve"> </w:t>
      </w:r>
      <m:oMath>
        <m:r>
          <m:rPr>
            <m:sty m:val="p"/>
          </m:rPr>
          <w:rPr>
            <w:rFonts w:ascii="Cambria Math" w:eastAsiaTheme="minorEastAsia" w:hAnsi="Cambria Math"/>
          </w:rPr>
          <m:t>k</m:t>
        </m:r>
        <m:r>
          <m:rPr>
            <m:sty m:val="p"/>
          </m:rPr>
          <w:rPr>
            <w:rFonts w:ascii="Cambria Math" w:hAnsi="Cambria Math"/>
          </w:rPr>
          <m:t>Ω</m:t>
        </m:r>
      </m:oMath>
      <w:r>
        <w:rPr>
          <w:rFonts w:eastAsiaTheme="minorEastAsia"/>
        </w:rPr>
        <w:t xml:space="preserve"> (set on the 20.00 </w:t>
      </w:r>
      <m:oMath>
        <m:r>
          <m:rPr>
            <m:sty m:val="p"/>
          </m:rPr>
          <w:rPr>
            <w:rFonts w:ascii="Cambria Math" w:eastAsiaTheme="minorEastAsia" w:hAnsi="Cambria Math"/>
          </w:rPr>
          <m:t>k</m:t>
        </m:r>
        <m:r>
          <m:rPr>
            <m:sty m:val="p"/>
          </m:rPr>
          <w:rPr>
            <w:rFonts w:ascii="Cambria Math" w:hAnsi="Cambria Math"/>
          </w:rPr>
          <m:t>Ω</m:t>
        </m:r>
      </m:oMath>
      <w:r>
        <w:rPr>
          <w:rFonts w:eastAsiaTheme="minorEastAsia"/>
        </w:rPr>
        <w:t xml:space="preserve"> range). </w:t>
      </w:r>
    </w:p>
    <w:p w:rsidR="008A15F4" w:rsidRDefault="008A15F4" w:rsidP="00ED0FCA">
      <w:pPr>
        <w:autoSpaceDE/>
        <w:autoSpaceDN/>
        <w:adjustRightInd/>
        <w:spacing w:after="200" w:line="276" w:lineRule="auto"/>
        <w:ind w:left="851"/>
        <w:textAlignment w:val="auto"/>
      </w:pPr>
      <w:r>
        <w:rPr>
          <w:rFonts w:eastAsiaTheme="minorEastAsia"/>
        </w:rPr>
        <w:t xml:space="preserve">From the </w:t>
      </w:r>
      <w:hyperlink r:id="rId16" w:history="1">
        <w:proofErr w:type="spellStart"/>
        <w:r>
          <w:rPr>
            <w:rStyle w:val="Hyperlink"/>
          </w:rPr>
          <w:t>myDAQ</w:t>
        </w:r>
        <w:proofErr w:type="spellEnd"/>
        <w:r>
          <w:rPr>
            <w:rStyle w:val="Hyperlink"/>
          </w:rPr>
          <w:t xml:space="preserve"> specifications</w:t>
        </w:r>
      </w:hyperlink>
      <w:r>
        <w:t xml:space="preserve">, you know that the accuracy of that reading is </w:t>
      </w:r>
      <m:oMath>
        <m:r>
          <w:rPr>
            <w:rFonts w:ascii="Cambria Math" w:hAnsi="Cambria Math"/>
          </w:rPr>
          <m:t>±</m:t>
        </m:r>
      </m:oMath>
      <w:r w:rsidR="00A27A1D">
        <w:t xml:space="preserve"> (0.8% + </w:t>
      </w:r>
      <w:proofErr w:type="gramStart"/>
      <w:r w:rsidR="00A27A1D">
        <w:t xml:space="preserve">30 </w:t>
      </w:r>
      <w:proofErr w:type="gramEnd"/>
      <m:oMath>
        <m:r>
          <m:rPr>
            <m:sty m:val="p"/>
          </m:rPr>
          <w:rPr>
            <w:rFonts w:ascii="Cambria Math" w:hAnsi="Cambria Math"/>
          </w:rPr>
          <m:t>Ω</m:t>
        </m:r>
      </m:oMath>
      <w:r w:rsidR="00A27A1D">
        <w:t>)</w:t>
      </w:r>
      <w:r w:rsidR="00243D8B">
        <w:t xml:space="preserve">. The percentage part is a percentage of the reading value to which you have to add a constant value of 30 </w:t>
      </w:r>
      <m:oMath>
        <m:r>
          <m:rPr>
            <m:sty m:val="p"/>
          </m:rPr>
          <w:rPr>
            <w:rFonts w:ascii="Cambria Math" w:hAnsi="Cambria Math"/>
          </w:rPr>
          <m:t>Ω</m:t>
        </m:r>
      </m:oMath>
      <w:r w:rsidR="00243D8B">
        <w:rPr>
          <w:rFonts w:eastAsiaTheme="minorEastAsia"/>
        </w:rPr>
        <w:t xml:space="preserve"> whatever the reading is. This translates as</w:t>
      </w:r>
      <w:r w:rsidR="00A27A1D">
        <w:t>:</w:t>
      </w:r>
    </w:p>
    <w:p w:rsidR="00A27A1D" w:rsidRDefault="00A27A1D" w:rsidP="00ED0FCA">
      <w:pPr>
        <w:autoSpaceDE/>
        <w:autoSpaceDN/>
        <w:adjustRightInd/>
        <w:spacing w:after="200" w:line="276" w:lineRule="auto"/>
        <w:ind w:left="851"/>
        <w:textAlignment w:val="auto"/>
        <w:rPr>
          <w:rFonts w:eastAsiaTheme="minorEastAsia"/>
        </w:rPr>
      </w:pPr>
      <w:r>
        <w:tab/>
      </w:r>
      <m:oMath>
        <m:r>
          <w:rPr>
            <w:rFonts w:ascii="Cambria Math" w:hAnsi="Cambria Math"/>
          </w:rPr>
          <m:t>±</m:t>
        </m:r>
      </m:oMath>
      <w:r>
        <w:t xml:space="preserve"> (0.8% + </w:t>
      </w:r>
      <w:proofErr w:type="gramStart"/>
      <w:r>
        <w:t xml:space="preserve">30 </w:t>
      </w:r>
      <w:proofErr w:type="gramEnd"/>
      <m:oMath>
        <m:r>
          <m:rPr>
            <m:sty m:val="p"/>
          </m:rPr>
          <w:rPr>
            <w:rFonts w:ascii="Cambria Math" w:hAnsi="Cambria Math"/>
          </w:rPr>
          <m:t>Ω</m:t>
        </m:r>
      </m:oMath>
      <w:r>
        <w:t xml:space="preserve">)  </w:t>
      </w:r>
      <m:oMath>
        <m:r>
          <w:rPr>
            <w:rFonts w:ascii="Cambria Math" w:hAnsi="Cambria Math"/>
          </w:rPr>
          <m:t>= ±</m:t>
        </m:r>
        <m:d>
          <m:dPr>
            <m:ctrlPr>
              <w:rPr>
                <w:rFonts w:ascii="Cambria Math" w:hAnsi="Cambria Math"/>
                <w:i/>
              </w:rPr>
            </m:ctrlPr>
          </m:dPr>
          <m:e>
            <m:r>
              <w:rPr>
                <w:rFonts w:ascii="Cambria Math" w:hAnsi="Cambria Math"/>
              </w:rPr>
              <m:t>0.008 ×12.06+0.03</m:t>
            </m:r>
          </m:e>
        </m:d>
        <m:r>
          <m:rPr>
            <m:sty m:val="p"/>
          </m:rPr>
          <w:rPr>
            <w:rFonts w:ascii="Cambria Math" w:hAnsi="Cambria Math"/>
          </w:rPr>
          <m:t>kΩ</m:t>
        </m:r>
        <m:r>
          <w:rPr>
            <w:rFonts w:ascii="Cambria Math" w:eastAsiaTheme="minorEastAsia" w:hAnsi="Cambria Math"/>
          </w:rPr>
          <m:t>=</m:t>
        </m:r>
        <m:r>
          <w:rPr>
            <w:rFonts w:ascii="Cambria Math" w:hAnsi="Cambria Math"/>
          </w:rPr>
          <m:t xml:space="preserve">± </m:t>
        </m:r>
        <m:r>
          <w:rPr>
            <w:rFonts w:ascii="Cambria Math" w:eastAsiaTheme="minorEastAsia" w:hAnsi="Cambria Math"/>
          </w:rPr>
          <m:t xml:space="preserve">0.12648 </m:t>
        </m:r>
        <m:r>
          <m:rPr>
            <m:sty m:val="p"/>
          </m:rPr>
          <w:rPr>
            <w:rFonts w:ascii="Cambria Math" w:hAnsi="Cambria Math"/>
          </w:rPr>
          <m:t>kΩ</m:t>
        </m:r>
      </m:oMath>
      <w:r w:rsidR="00243D8B">
        <w:rPr>
          <w:rFonts w:eastAsiaTheme="minorEastAsia"/>
        </w:rPr>
        <w:t>.</w:t>
      </w:r>
    </w:p>
    <w:p w:rsidR="0068388C" w:rsidRDefault="00A27A1D" w:rsidP="00ED0FCA">
      <w:pPr>
        <w:autoSpaceDE/>
        <w:autoSpaceDN/>
        <w:adjustRightInd/>
        <w:spacing w:after="200" w:line="276" w:lineRule="auto"/>
        <w:ind w:left="851"/>
        <w:textAlignment w:val="auto"/>
        <w:rPr>
          <w:rFonts w:eastAsiaTheme="minorEastAsia"/>
        </w:rPr>
      </w:pPr>
      <w:r>
        <w:rPr>
          <w:rFonts w:eastAsiaTheme="minorEastAsia"/>
        </w:rPr>
        <w:t xml:space="preserve">Consequently, your final reading </w:t>
      </w:r>
      <w:proofErr w:type="gramStart"/>
      <w:r>
        <w:rPr>
          <w:rFonts w:eastAsiaTheme="minorEastAsia"/>
        </w:rPr>
        <w:t xml:space="preserve">is </w:t>
      </w:r>
      <w:proofErr w:type="gramEnd"/>
      <m:oMath>
        <m:d>
          <m:dPr>
            <m:ctrlPr>
              <w:rPr>
                <w:rFonts w:ascii="Cambria Math" w:eastAsiaTheme="minorEastAsia" w:hAnsi="Cambria Math"/>
                <w:i/>
              </w:rPr>
            </m:ctrlPr>
          </m:dPr>
          <m:e>
            <m:r>
              <w:rPr>
                <w:rFonts w:ascii="Cambria Math" w:eastAsiaTheme="minorEastAsia" w:hAnsi="Cambria Math"/>
              </w:rPr>
              <m:t>12.1 ±0.1</m:t>
            </m:r>
          </m:e>
        </m:d>
        <m:r>
          <m:rPr>
            <m:sty m:val="p"/>
          </m:rPr>
          <w:rPr>
            <w:rFonts w:ascii="Cambria Math" w:hAnsi="Cambria Math"/>
          </w:rPr>
          <m:t xml:space="preserve"> kΩ</m:t>
        </m:r>
      </m:oMath>
      <w:r>
        <w:rPr>
          <w:rFonts w:eastAsiaTheme="minorEastAsia"/>
        </w:rPr>
        <w:t>.</w:t>
      </w:r>
      <w:r w:rsidR="00243D8B">
        <w:rPr>
          <w:rFonts w:eastAsiaTheme="minorEastAsia"/>
        </w:rPr>
        <w:tab/>
      </w:r>
      <w:r w:rsidR="00243D8B">
        <w:rPr>
          <w:rFonts w:eastAsiaTheme="minorEastAsia"/>
        </w:rPr>
        <w:br/>
      </w:r>
    </w:p>
    <w:p w:rsidR="00F057D3" w:rsidRDefault="00F057D3">
      <w:pPr>
        <w:autoSpaceDE/>
        <w:autoSpaceDN/>
        <w:adjustRightInd/>
        <w:spacing w:after="200" w:line="276" w:lineRule="auto"/>
        <w:jc w:val="left"/>
        <w:textAlignment w:val="auto"/>
        <w:rPr>
          <w:rFonts w:eastAsiaTheme="minorEastAsia" w:cstheme="majorBidi"/>
          <w:b/>
          <w:bCs/>
          <w:color w:val="4F81BD" w:themeColor="accent1"/>
          <w:lang w:val="en-GB"/>
        </w:rPr>
      </w:pPr>
      <w:r>
        <w:rPr>
          <w:rFonts w:eastAsiaTheme="minorEastAsia"/>
        </w:rPr>
        <w:br w:type="page"/>
      </w:r>
    </w:p>
    <w:p w:rsidR="00A63A8B" w:rsidRPr="00243D8B" w:rsidRDefault="00A63A8B" w:rsidP="00A63A8B">
      <w:pPr>
        <w:pStyle w:val="Heading3"/>
        <w:rPr>
          <w:rFonts w:eastAsiaTheme="minorEastAsia"/>
        </w:rPr>
      </w:pPr>
      <w:r>
        <w:rPr>
          <w:rFonts w:eastAsiaTheme="minorEastAsia"/>
        </w:rPr>
        <w:lastRenderedPageBreak/>
        <w:t>The resistor colour code</w:t>
      </w:r>
    </w:p>
    <w:p w:rsidR="00F057D3" w:rsidRDefault="00A63A8B" w:rsidP="00A63A8B">
      <w:pPr>
        <w:autoSpaceDE/>
        <w:autoSpaceDN/>
        <w:adjustRightInd/>
        <w:spacing w:after="200" w:line="276" w:lineRule="auto"/>
        <w:textAlignment w:val="auto"/>
      </w:pPr>
      <w:r>
        <w:t xml:space="preserve">The resistance value of a resistor can is usually indicated on the resistor itself by the manufacturer. It is either indicated as a number (that you can directly read) or using a colour code (that you have to interpret). The resistor colour code uses four bands.   </w:t>
      </w:r>
      <w:r>
        <w:t>Make sure</w:t>
      </w:r>
      <w:r>
        <w:t xml:space="preserve"> you read the bands on </w:t>
      </w:r>
      <w:r>
        <w:t>the resi</w:t>
      </w:r>
      <w:r>
        <w:t xml:space="preserve">stor from the correct side. In </w:t>
      </w:r>
      <w:r>
        <w:t>most cases</w:t>
      </w:r>
      <w:r>
        <w:t xml:space="preserve"> the resistor will have either </w:t>
      </w:r>
      <w:r>
        <w:t>a gol</w:t>
      </w:r>
      <w:r>
        <w:t xml:space="preserve">d or silver band, which should </w:t>
      </w:r>
      <w:r>
        <w:t>be th</w:t>
      </w:r>
      <w:r>
        <w:t xml:space="preserve">e right most </w:t>
      </w:r>
      <w:proofErr w:type="gramStart"/>
      <w:r>
        <w:t>band</w:t>
      </w:r>
      <w:proofErr w:type="gramEnd"/>
      <w:r>
        <w:t xml:space="preserve"> when reading </w:t>
      </w:r>
      <w:r>
        <w:t>the color</w:t>
      </w:r>
      <w:r>
        <w:t xml:space="preserve">s on the resistors. If no such </w:t>
      </w:r>
      <w:r>
        <w:t>bands exist then you should arrange</w:t>
      </w:r>
      <w:r>
        <w:t xml:space="preserve"> </w:t>
      </w:r>
      <w:r>
        <w:t>the resisto</w:t>
      </w:r>
      <w:r>
        <w:t xml:space="preserve">r in such a way that the right </w:t>
      </w:r>
      <w:r>
        <w:t>most color band is the widest.</w:t>
      </w:r>
    </w:p>
    <w:p w:rsidR="00CD3A6F" w:rsidRDefault="00F057D3" w:rsidP="00CD3A6F">
      <w:pPr>
        <w:autoSpaceDE/>
        <w:autoSpaceDN/>
        <w:adjustRightInd/>
        <w:spacing w:after="200" w:line="276" w:lineRule="auto"/>
        <w:textAlignment w:val="auto"/>
      </w:pPr>
      <w:r>
        <w:t>The</w:t>
      </w:r>
      <w:r>
        <w:t xml:space="preserve"> two first bands represent the </w:t>
      </w:r>
      <w:r>
        <w:t>significant figures while the third colo</w:t>
      </w:r>
      <w:r w:rsidR="00CD3A6F">
        <w:t>u</w:t>
      </w:r>
      <w:r>
        <w:t xml:space="preserve">r band represents the multiplier and the </w:t>
      </w:r>
      <w:r>
        <w:t>forth</w:t>
      </w:r>
      <w:r>
        <w:t xml:space="preserve"> colo</w:t>
      </w:r>
      <w:r w:rsidR="00CD3A6F">
        <w:t>u</w:t>
      </w:r>
      <w:r>
        <w:t>r band is for the tolerance (uncertainty on the resistance’s value specified by the manufacturer).</w:t>
      </w:r>
      <w:r>
        <w:t xml:space="preserve"> </w:t>
      </w:r>
      <w:r w:rsidR="00CD3A6F">
        <w:t>The table below summarizes the resistor colour code.</w:t>
      </w:r>
    </w:p>
    <w:p w:rsidR="00CD3A6F" w:rsidRDefault="00CD3A6F" w:rsidP="00CD3A6F">
      <w:pPr>
        <w:pStyle w:val="Caption"/>
        <w:keepNext/>
      </w:pPr>
      <w:r>
        <w:t xml:space="preserve">Table </w:t>
      </w:r>
      <w:fldSimple w:instr=" SEQ Table \* ARABIC ">
        <w:r>
          <w:rPr>
            <w:noProof/>
          </w:rPr>
          <w:t>1</w:t>
        </w:r>
      </w:fldSimple>
      <w:r>
        <w:t xml:space="preserve"> - Resistor colour chart</w:t>
      </w:r>
    </w:p>
    <w:tbl>
      <w:tblPr>
        <w:tblStyle w:val="TableGrid"/>
        <w:tblW w:w="0" w:type="auto"/>
        <w:jc w:val="center"/>
        <w:tblLook w:val="04A0" w:firstRow="1" w:lastRow="0" w:firstColumn="1" w:lastColumn="0" w:noHBand="0" w:noVBand="1"/>
      </w:tblPr>
      <w:tblGrid>
        <w:gridCol w:w="1361"/>
        <w:gridCol w:w="1361"/>
        <w:gridCol w:w="1361"/>
        <w:gridCol w:w="1361"/>
        <w:gridCol w:w="1361"/>
      </w:tblGrid>
      <w:tr w:rsidR="00F057D3" w:rsidTr="00CD3A6F">
        <w:trPr>
          <w:trHeight w:val="567"/>
          <w:jc w:val="center"/>
        </w:trPr>
        <w:tc>
          <w:tcPr>
            <w:tcW w:w="1361" w:type="dxa"/>
            <w:tcBorders>
              <w:top w:val="nil"/>
              <w:left w:val="nil"/>
              <w:bottom w:val="nil"/>
            </w:tcBorders>
            <w:vAlign w:val="center"/>
          </w:tcPr>
          <w:p w:rsidR="00F057D3" w:rsidRDefault="00F057D3" w:rsidP="00CD3A6F">
            <w:pPr>
              <w:jc w:val="center"/>
            </w:pP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1</w:t>
            </w:r>
            <w:r w:rsidRPr="00CD3A6F">
              <w:rPr>
                <w:b/>
                <w:vertAlign w:val="superscript"/>
              </w:rPr>
              <w:t>st</w:t>
            </w:r>
            <w:r w:rsidRPr="00CD3A6F">
              <w:rPr>
                <w:b/>
              </w:rPr>
              <w:t xml:space="preserve"> band</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2</w:t>
            </w:r>
            <w:r w:rsidRPr="00CD3A6F">
              <w:rPr>
                <w:b/>
                <w:vertAlign w:val="superscript"/>
              </w:rPr>
              <w:t>nd</w:t>
            </w:r>
            <w:r w:rsidRPr="00CD3A6F">
              <w:rPr>
                <w:b/>
              </w:rPr>
              <w:t xml:space="preserve"> band</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3</w:t>
            </w:r>
            <w:r w:rsidRPr="00CD3A6F">
              <w:rPr>
                <w:b/>
                <w:vertAlign w:val="superscript"/>
              </w:rPr>
              <w:t>rd</w:t>
            </w:r>
            <w:r w:rsidRPr="00CD3A6F">
              <w:rPr>
                <w:b/>
              </w:rPr>
              <w:t xml:space="preserve"> band</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4</w:t>
            </w:r>
            <w:r w:rsidRPr="00CD3A6F">
              <w:rPr>
                <w:b/>
                <w:vertAlign w:val="superscript"/>
              </w:rPr>
              <w:t>th</w:t>
            </w:r>
            <w:r w:rsidRPr="00CD3A6F">
              <w:rPr>
                <w:b/>
              </w:rPr>
              <w:t xml:space="preserve"> band</w:t>
            </w:r>
          </w:p>
        </w:tc>
      </w:tr>
      <w:tr w:rsidR="00F057D3" w:rsidTr="00CD3A6F">
        <w:trPr>
          <w:trHeight w:val="567"/>
          <w:jc w:val="center"/>
        </w:trPr>
        <w:tc>
          <w:tcPr>
            <w:tcW w:w="1361" w:type="dxa"/>
            <w:tcBorders>
              <w:top w:val="nil"/>
              <w:left w:val="nil"/>
            </w:tcBorders>
            <w:vAlign w:val="center"/>
          </w:tcPr>
          <w:p w:rsidR="00F057D3" w:rsidRDefault="00F057D3" w:rsidP="00CD3A6F">
            <w:pPr>
              <w:jc w:val="center"/>
            </w:pP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1</w:t>
            </w:r>
            <w:r w:rsidRPr="00CD3A6F">
              <w:rPr>
                <w:b/>
                <w:vertAlign w:val="superscript"/>
              </w:rPr>
              <w:t>st</w:t>
            </w:r>
            <w:r w:rsidRPr="00CD3A6F">
              <w:rPr>
                <w:b/>
              </w:rPr>
              <w:t xml:space="preserve"> significant figure</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2</w:t>
            </w:r>
            <w:r w:rsidRPr="00CD3A6F">
              <w:rPr>
                <w:b/>
                <w:vertAlign w:val="superscript"/>
              </w:rPr>
              <w:t>nd</w:t>
            </w:r>
            <w:r w:rsidRPr="00CD3A6F">
              <w:rPr>
                <w:b/>
              </w:rPr>
              <w:t xml:space="preserve"> significant figure</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Multiplier</w:t>
            </w:r>
          </w:p>
        </w:tc>
        <w:tc>
          <w:tcPr>
            <w:tcW w:w="1361" w:type="dxa"/>
            <w:shd w:val="clear" w:color="auto" w:fill="DBE5F1" w:themeFill="accent1" w:themeFillTint="33"/>
            <w:vAlign w:val="center"/>
          </w:tcPr>
          <w:p w:rsidR="00F057D3" w:rsidRPr="00CD3A6F" w:rsidRDefault="00CA50E2" w:rsidP="00CD3A6F">
            <w:pPr>
              <w:jc w:val="center"/>
              <w:rPr>
                <w:b/>
              </w:rPr>
            </w:pPr>
            <w:r w:rsidRPr="00CD3A6F">
              <w:rPr>
                <w:b/>
              </w:rPr>
              <w:t>Tolerance</w:t>
            </w:r>
          </w:p>
        </w:tc>
      </w:tr>
      <w:tr w:rsidR="00F057D3" w:rsidTr="00CD3A6F">
        <w:trPr>
          <w:trHeight w:val="283"/>
          <w:jc w:val="center"/>
        </w:trPr>
        <w:tc>
          <w:tcPr>
            <w:tcW w:w="1361" w:type="dxa"/>
            <w:vAlign w:val="center"/>
          </w:tcPr>
          <w:p w:rsidR="00F057D3" w:rsidRPr="00CD3A6F" w:rsidRDefault="00CA50E2" w:rsidP="00CD3A6F">
            <w:pPr>
              <w:jc w:val="center"/>
              <w:rPr>
                <w:b/>
              </w:rPr>
            </w:pPr>
            <w:r w:rsidRPr="00CD3A6F">
              <w:rPr>
                <w:b/>
              </w:rPr>
              <w:t>Silver</w:t>
            </w:r>
          </w:p>
        </w:tc>
        <w:tc>
          <w:tcPr>
            <w:tcW w:w="1361" w:type="dxa"/>
            <w:vAlign w:val="center"/>
          </w:tcPr>
          <w:p w:rsidR="00F057D3" w:rsidRDefault="00CA50E2" w:rsidP="00CD3A6F">
            <w:pPr>
              <w:jc w:val="center"/>
            </w:pPr>
            <w:r>
              <w:t>-</w:t>
            </w:r>
          </w:p>
        </w:tc>
        <w:tc>
          <w:tcPr>
            <w:tcW w:w="1361" w:type="dxa"/>
            <w:vAlign w:val="center"/>
          </w:tcPr>
          <w:p w:rsidR="00F057D3" w:rsidRDefault="00CA50E2" w:rsidP="00CD3A6F">
            <w:pPr>
              <w:jc w:val="center"/>
            </w:pPr>
            <w:r>
              <w:t>-</w:t>
            </w:r>
          </w:p>
        </w:tc>
        <w:tc>
          <w:tcPr>
            <w:tcW w:w="1361" w:type="dxa"/>
            <w:vAlign w:val="center"/>
          </w:tcPr>
          <w:p w:rsidR="00F057D3" w:rsidRDefault="00CA50E2" w:rsidP="00CD3A6F">
            <w:pPr>
              <w:jc w:val="center"/>
            </w:pPr>
            <w:r>
              <w:t>10</w:t>
            </w:r>
            <w:r w:rsidRPr="00CA50E2">
              <w:rPr>
                <w:vertAlign w:val="superscript"/>
              </w:rPr>
              <w:t>-2</w:t>
            </w:r>
          </w:p>
        </w:tc>
        <w:tc>
          <w:tcPr>
            <w:tcW w:w="1361" w:type="dxa"/>
            <w:vAlign w:val="center"/>
          </w:tcPr>
          <w:p w:rsidR="00F057D3" w:rsidRDefault="00CA50E2" w:rsidP="00CD3A6F">
            <w:pPr>
              <w:jc w:val="center"/>
            </w:pPr>
            <w:r>
              <w:t>10%</w:t>
            </w:r>
          </w:p>
        </w:tc>
      </w:tr>
      <w:tr w:rsidR="00F057D3" w:rsidTr="00CD3A6F">
        <w:trPr>
          <w:trHeight w:val="283"/>
          <w:jc w:val="center"/>
        </w:trPr>
        <w:tc>
          <w:tcPr>
            <w:tcW w:w="1361" w:type="dxa"/>
            <w:vAlign w:val="center"/>
          </w:tcPr>
          <w:p w:rsidR="00F057D3" w:rsidRPr="00CD3A6F" w:rsidRDefault="00CA50E2" w:rsidP="00CD3A6F">
            <w:pPr>
              <w:jc w:val="center"/>
              <w:rPr>
                <w:b/>
              </w:rPr>
            </w:pPr>
            <w:r w:rsidRPr="00CD3A6F">
              <w:rPr>
                <w:b/>
              </w:rPr>
              <w:t>Gold</w:t>
            </w:r>
          </w:p>
        </w:tc>
        <w:tc>
          <w:tcPr>
            <w:tcW w:w="1361" w:type="dxa"/>
            <w:vAlign w:val="center"/>
          </w:tcPr>
          <w:p w:rsidR="00F057D3" w:rsidRDefault="00CA50E2" w:rsidP="00CD3A6F">
            <w:pPr>
              <w:jc w:val="center"/>
            </w:pPr>
            <w:r>
              <w:t>-</w:t>
            </w:r>
          </w:p>
        </w:tc>
        <w:tc>
          <w:tcPr>
            <w:tcW w:w="1361" w:type="dxa"/>
            <w:vAlign w:val="center"/>
          </w:tcPr>
          <w:p w:rsidR="00F057D3" w:rsidRDefault="00CA50E2" w:rsidP="00CD3A6F">
            <w:pPr>
              <w:jc w:val="center"/>
            </w:pPr>
            <w:r>
              <w:t>-</w:t>
            </w:r>
          </w:p>
        </w:tc>
        <w:tc>
          <w:tcPr>
            <w:tcW w:w="1361" w:type="dxa"/>
            <w:vAlign w:val="center"/>
          </w:tcPr>
          <w:p w:rsidR="00F057D3" w:rsidRDefault="00CA50E2" w:rsidP="00CD3A6F">
            <w:pPr>
              <w:jc w:val="center"/>
            </w:pPr>
            <w:r>
              <w:t>10</w:t>
            </w:r>
            <w:r w:rsidRPr="00CA50E2">
              <w:rPr>
                <w:vertAlign w:val="superscript"/>
              </w:rPr>
              <w:t>-</w:t>
            </w:r>
            <w:r>
              <w:rPr>
                <w:vertAlign w:val="superscript"/>
              </w:rPr>
              <w:t>1</w:t>
            </w:r>
          </w:p>
        </w:tc>
        <w:tc>
          <w:tcPr>
            <w:tcW w:w="1361" w:type="dxa"/>
            <w:vAlign w:val="center"/>
          </w:tcPr>
          <w:p w:rsidR="00F057D3" w:rsidRDefault="00CA50E2" w:rsidP="00CD3A6F">
            <w:pPr>
              <w:jc w:val="center"/>
            </w:pPr>
            <w:r>
              <w:t>5%</w:t>
            </w:r>
          </w:p>
        </w:tc>
      </w:tr>
      <w:tr w:rsidR="00F057D3" w:rsidTr="00CD3A6F">
        <w:trPr>
          <w:trHeight w:val="283"/>
          <w:jc w:val="center"/>
        </w:trPr>
        <w:tc>
          <w:tcPr>
            <w:tcW w:w="1361" w:type="dxa"/>
            <w:vAlign w:val="center"/>
          </w:tcPr>
          <w:p w:rsidR="00F057D3" w:rsidRPr="00CD3A6F" w:rsidRDefault="00CA50E2" w:rsidP="00CD3A6F">
            <w:pPr>
              <w:jc w:val="center"/>
              <w:rPr>
                <w:b/>
              </w:rPr>
            </w:pPr>
            <w:r w:rsidRPr="00CD3A6F">
              <w:rPr>
                <w:b/>
              </w:rPr>
              <w:t>Black</w:t>
            </w:r>
          </w:p>
        </w:tc>
        <w:tc>
          <w:tcPr>
            <w:tcW w:w="1361" w:type="dxa"/>
            <w:vAlign w:val="center"/>
          </w:tcPr>
          <w:p w:rsidR="00F057D3" w:rsidRDefault="00CA50E2" w:rsidP="00CD3A6F">
            <w:pPr>
              <w:jc w:val="center"/>
            </w:pPr>
            <w:r>
              <w:t>-</w:t>
            </w:r>
          </w:p>
        </w:tc>
        <w:tc>
          <w:tcPr>
            <w:tcW w:w="1361" w:type="dxa"/>
            <w:vAlign w:val="center"/>
          </w:tcPr>
          <w:p w:rsidR="00F057D3" w:rsidRDefault="00CA50E2" w:rsidP="00CD3A6F">
            <w:pPr>
              <w:jc w:val="center"/>
            </w:pPr>
            <w:r>
              <w:t>0</w:t>
            </w:r>
          </w:p>
        </w:tc>
        <w:tc>
          <w:tcPr>
            <w:tcW w:w="1361" w:type="dxa"/>
            <w:vAlign w:val="center"/>
          </w:tcPr>
          <w:p w:rsidR="00F057D3" w:rsidRDefault="00CA50E2" w:rsidP="00CD3A6F">
            <w:pPr>
              <w:jc w:val="center"/>
            </w:pPr>
            <w:r>
              <w:t>1</w:t>
            </w:r>
          </w:p>
        </w:tc>
        <w:tc>
          <w:tcPr>
            <w:tcW w:w="1361" w:type="dxa"/>
            <w:vAlign w:val="center"/>
          </w:tcPr>
          <w:p w:rsidR="00F057D3" w:rsidRDefault="00CA50E2" w:rsidP="00CD3A6F">
            <w:pPr>
              <w:jc w:val="center"/>
            </w:pPr>
            <w:r>
              <w:t>-</w:t>
            </w:r>
          </w:p>
        </w:tc>
      </w:tr>
      <w:tr w:rsidR="00CA50E2" w:rsidTr="00CD3A6F">
        <w:trPr>
          <w:trHeight w:val="283"/>
          <w:jc w:val="center"/>
        </w:trPr>
        <w:tc>
          <w:tcPr>
            <w:tcW w:w="1361" w:type="dxa"/>
            <w:vAlign w:val="center"/>
          </w:tcPr>
          <w:p w:rsidR="00CA50E2" w:rsidRPr="00CD3A6F" w:rsidRDefault="00CA50E2" w:rsidP="00CD3A6F">
            <w:pPr>
              <w:jc w:val="center"/>
              <w:rPr>
                <w:b/>
              </w:rPr>
            </w:pPr>
            <w:r w:rsidRPr="00CD3A6F">
              <w:rPr>
                <w:b/>
              </w:rPr>
              <w:t>Brown</w:t>
            </w:r>
          </w:p>
        </w:tc>
        <w:tc>
          <w:tcPr>
            <w:tcW w:w="1361" w:type="dxa"/>
            <w:vAlign w:val="center"/>
          </w:tcPr>
          <w:p w:rsidR="00CA50E2" w:rsidRDefault="00CA50E2" w:rsidP="00CD3A6F">
            <w:pPr>
              <w:jc w:val="center"/>
            </w:pPr>
            <w:r>
              <w:t>1</w:t>
            </w:r>
          </w:p>
        </w:tc>
        <w:tc>
          <w:tcPr>
            <w:tcW w:w="1361" w:type="dxa"/>
            <w:vAlign w:val="center"/>
          </w:tcPr>
          <w:p w:rsidR="00CA50E2" w:rsidRDefault="00CA50E2" w:rsidP="00CD3A6F">
            <w:pPr>
              <w:jc w:val="center"/>
            </w:pPr>
            <w:r>
              <w:t>1</w:t>
            </w:r>
          </w:p>
        </w:tc>
        <w:tc>
          <w:tcPr>
            <w:tcW w:w="1361" w:type="dxa"/>
            <w:vAlign w:val="center"/>
          </w:tcPr>
          <w:p w:rsidR="00CA50E2" w:rsidRDefault="00CA50E2" w:rsidP="00CD3A6F">
            <w:pPr>
              <w:jc w:val="center"/>
            </w:pPr>
            <w:r>
              <w:t>10</w:t>
            </w:r>
          </w:p>
        </w:tc>
        <w:tc>
          <w:tcPr>
            <w:tcW w:w="1361" w:type="dxa"/>
            <w:vAlign w:val="center"/>
          </w:tcPr>
          <w:p w:rsidR="00CA50E2" w:rsidRDefault="00CA50E2" w:rsidP="00CD3A6F">
            <w:pPr>
              <w:jc w:val="center"/>
            </w:pPr>
            <w:r>
              <w:t>1%</w:t>
            </w:r>
          </w:p>
        </w:tc>
      </w:tr>
      <w:tr w:rsidR="00CA50E2" w:rsidTr="00CD3A6F">
        <w:trPr>
          <w:trHeight w:val="283"/>
          <w:jc w:val="center"/>
        </w:trPr>
        <w:tc>
          <w:tcPr>
            <w:tcW w:w="1361" w:type="dxa"/>
            <w:vAlign w:val="center"/>
          </w:tcPr>
          <w:p w:rsidR="00CA50E2" w:rsidRPr="00CD3A6F" w:rsidRDefault="00CA50E2" w:rsidP="00CD3A6F">
            <w:pPr>
              <w:jc w:val="center"/>
              <w:rPr>
                <w:b/>
              </w:rPr>
            </w:pPr>
            <w:r w:rsidRPr="00CD3A6F">
              <w:rPr>
                <w:b/>
              </w:rPr>
              <w:t>Red</w:t>
            </w:r>
          </w:p>
        </w:tc>
        <w:tc>
          <w:tcPr>
            <w:tcW w:w="1361" w:type="dxa"/>
            <w:vAlign w:val="center"/>
          </w:tcPr>
          <w:p w:rsidR="00CA50E2" w:rsidRDefault="00CA50E2" w:rsidP="00CD3A6F">
            <w:pPr>
              <w:jc w:val="center"/>
            </w:pPr>
            <w:r>
              <w:t>2</w:t>
            </w:r>
          </w:p>
        </w:tc>
        <w:tc>
          <w:tcPr>
            <w:tcW w:w="1361" w:type="dxa"/>
            <w:vAlign w:val="center"/>
          </w:tcPr>
          <w:p w:rsidR="0089739B" w:rsidRDefault="00CA50E2" w:rsidP="00CD3A6F">
            <w:pPr>
              <w:jc w:val="center"/>
            </w:pPr>
            <w:r>
              <w:t>2</w:t>
            </w:r>
          </w:p>
        </w:tc>
        <w:tc>
          <w:tcPr>
            <w:tcW w:w="1361" w:type="dxa"/>
            <w:vAlign w:val="center"/>
          </w:tcPr>
          <w:p w:rsidR="00CA50E2" w:rsidRDefault="00CA50E2" w:rsidP="00CD3A6F">
            <w:pPr>
              <w:jc w:val="center"/>
            </w:pPr>
            <w:r>
              <w:t>10</w:t>
            </w:r>
            <w:r>
              <w:rPr>
                <w:vertAlign w:val="superscript"/>
              </w:rPr>
              <w:t>2</w:t>
            </w:r>
          </w:p>
        </w:tc>
        <w:tc>
          <w:tcPr>
            <w:tcW w:w="1361" w:type="dxa"/>
            <w:vAlign w:val="center"/>
          </w:tcPr>
          <w:p w:rsidR="00CA50E2" w:rsidRDefault="00CA50E2" w:rsidP="00CD3A6F">
            <w:pPr>
              <w:jc w:val="center"/>
            </w:pPr>
            <w:r>
              <w:t>2%</w:t>
            </w:r>
          </w:p>
        </w:tc>
      </w:tr>
      <w:tr w:rsidR="00CA50E2" w:rsidTr="00CD3A6F">
        <w:trPr>
          <w:trHeight w:val="283"/>
          <w:jc w:val="center"/>
        </w:trPr>
        <w:tc>
          <w:tcPr>
            <w:tcW w:w="1361" w:type="dxa"/>
            <w:vAlign w:val="center"/>
          </w:tcPr>
          <w:p w:rsidR="00CA50E2" w:rsidRPr="00CD3A6F" w:rsidRDefault="00CA50E2" w:rsidP="00CD3A6F">
            <w:pPr>
              <w:jc w:val="center"/>
              <w:rPr>
                <w:b/>
              </w:rPr>
            </w:pPr>
            <w:r w:rsidRPr="00CD3A6F">
              <w:rPr>
                <w:b/>
              </w:rPr>
              <w:t>Orange</w:t>
            </w:r>
          </w:p>
        </w:tc>
        <w:tc>
          <w:tcPr>
            <w:tcW w:w="1361" w:type="dxa"/>
            <w:vAlign w:val="center"/>
          </w:tcPr>
          <w:p w:rsidR="00CA50E2" w:rsidRDefault="00CA50E2" w:rsidP="00CD3A6F">
            <w:pPr>
              <w:jc w:val="center"/>
            </w:pPr>
            <w:r>
              <w:t>3</w:t>
            </w:r>
          </w:p>
        </w:tc>
        <w:tc>
          <w:tcPr>
            <w:tcW w:w="1361" w:type="dxa"/>
            <w:vAlign w:val="center"/>
          </w:tcPr>
          <w:p w:rsidR="00CA50E2" w:rsidRDefault="00CA50E2" w:rsidP="00CD3A6F">
            <w:pPr>
              <w:jc w:val="center"/>
            </w:pPr>
            <w:r>
              <w:t>3</w:t>
            </w:r>
          </w:p>
        </w:tc>
        <w:tc>
          <w:tcPr>
            <w:tcW w:w="1361" w:type="dxa"/>
            <w:vAlign w:val="center"/>
          </w:tcPr>
          <w:p w:rsidR="00CA50E2" w:rsidRDefault="00CA50E2" w:rsidP="00CD3A6F">
            <w:pPr>
              <w:jc w:val="center"/>
            </w:pPr>
            <w:r>
              <w:t>10</w:t>
            </w:r>
            <w:r>
              <w:rPr>
                <w:vertAlign w:val="superscript"/>
              </w:rPr>
              <w:t>3</w:t>
            </w:r>
          </w:p>
        </w:tc>
        <w:tc>
          <w:tcPr>
            <w:tcW w:w="1361" w:type="dxa"/>
            <w:vAlign w:val="center"/>
          </w:tcPr>
          <w:p w:rsidR="00CA50E2" w:rsidRDefault="00CA50E2" w:rsidP="00CD3A6F">
            <w:pPr>
              <w:jc w:val="center"/>
            </w:pPr>
            <w:r>
              <w:t>-</w:t>
            </w:r>
          </w:p>
        </w:tc>
      </w:tr>
      <w:tr w:rsidR="00CA50E2" w:rsidTr="00CD3A6F">
        <w:trPr>
          <w:trHeight w:val="283"/>
          <w:jc w:val="center"/>
        </w:trPr>
        <w:tc>
          <w:tcPr>
            <w:tcW w:w="1361" w:type="dxa"/>
            <w:vAlign w:val="center"/>
          </w:tcPr>
          <w:p w:rsidR="00CA50E2" w:rsidRPr="00CD3A6F" w:rsidRDefault="00CA50E2" w:rsidP="00CD3A6F">
            <w:pPr>
              <w:jc w:val="center"/>
              <w:rPr>
                <w:b/>
              </w:rPr>
            </w:pPr>
            <w:r w:rsidRPr="00CD3A6F">
              <w:rPr>
                <w:b/>
              </w:rPr>
              <w:t>Yellow</w:t>
            </w:r>
          </w:p>
        </w:tc>
        <w:tc>
          <w:tcPr>
            <w:tcW w:w="1361" w:type="dxa"/>
            <w:vAlign w:val="center"/>
          </w:tcPr>
          <w:p w:rsidR="00CA50E2" w:rsidRDefault="00CA50E2" w:rsidP="00CD3A6F">
            <w:pPr>
              <w:jc w:val="center"/>
            </w:pPr>
            <w:r>
              <w:t>4</w:t>
            </w:r>
          </w:p>
        </w:tc>
        <w:tc>
          <w:tcPr>
            <w:tcW w:w="1361" w:type="dxa"/>
            <w:vAlign w:val="center"/>
          </w:tcPr>
          <w:p w:rsidR="00CA50E2" w:rsidRDefault="00CA50E2" w:rsidP="00CD3A6F">
            <w:pPr>
              <w:jc w:val="center"/>
            </w:pPr>
            <w:r>
              <w:t>4</w:t>
            </w:r>
          </w:p>
        </w:tc>
        <w:tc>
          <w:tcPr>
            <w:tcW w:w="1361" w:type="dxa"/>
            <w:vAlign w:val="center"/>
          </w:tcPr>
          <w:p w:rsidR="00CA50E2" w:rsidRDefault="00CA50E2" w:rsidP="00CD3A6F">
            <w:pPr>
              <w:jc w:val="center"/>
            </w:pPr>
            <w:r>
              <w:t>10</w:t>
            </w:r>
            <w:r>
              <w:rPr>
                <w:vertAlign w:val="superscript"/>
              </w:rPr>
              <w:t>4</w:t>
            </w:r>
          </w:p>
        </w:tc>
        <w:tc>
          <w:tcPr>
            <w:tcW w:w="1361" w:type="dxa"/>
            <w:vAlign w:val="center"/>
          </w:tcPr>
          <w:p w:rsidR="00CA50E2" w:rsidRDefault="00CA50E2" w:rsidP="00CD3A6F">
            <w:pPr>
              <w:jc w:val="center"/>
            </w:pPr>
            <w:r>
              <w:t>-</w:t>
            </w:r>
          </w:p>
        </w:tc>
      </w:tr>
      <w:tr w:rsidR="00CA50E2" w:rsidTr="00CD3A6F">
        <w:trPr>
          <w:trHeight w:val="283"/>
          <w:jc w:val="center"/>
        </w:trPr>
        <w:tc>
          <w:tcPr>
            <w:tcW w:w="1361" w:type="dxa"/>
            <w:vAlign w:val="center"/>
          </w:tcPr>
          <w:p w:rsidR="00CA50E2" w:rsidRPr="00CD3A6F" w:rsidRDefault="00CA50E2" w:rsidP="00CD3A6F">
            <w:pPr>
              <w:jc w:val="center"/>
              <w:rPr>
                <w:b/>
              </w:rPr>
            </w:pPr>
            <w:r w:rsidRPr="00CD3A6F">
              <w:rPr>
                <w:b/>
              </w:rPr>
              <w:t>Green</w:t>
            </w:r>
          </w:p>
        </w:tc>
        <w:tc>
          <w:tcPr>
            <w:tcW w:w="1361" w:type="dxa"/>
            <w:vAlign w:val="center"/>
          </w:tcPr>
          <w:p w:rsidR="00CA50E2" w:rsidRDefault="00CA50E2" w:rsidP="00CD3A6F">
            <w:pPr>
              <w:jc w:val="center"/>
            </w:pPr>
            <w:r>
              <w:t>5</w:t>
            </w:r>
          </w:p>
        </w:tc>
        <w:tc>
          <w:tcPr>
            <w:tcW w:w="1361" w:type="dxa"/>
            <w:vAlign w:val="center"/>
          </w:tcPr>
          <w:p w:rsidR="00CA50E2" w:rsidRDefault="00CA50E2" w:rsidP="00CD3A6F">
            <w:pPr>
              <w:jc w:val="center"/>
            </w:pPr>
            <w:r>
              <w:t>5</w:t>
            </w:r>
          </w:p>
        </w:tc>
        <w:tc>
          <w:tcPr>
            <w:tcW w:w="1361" w:type="dxa"/>
            <w:vAlign w:val="center"/>
          </w:tcPr>
          <w:p w:rsidR="00CA50E2" w:rsidRDefault="00CA50E2" w:rsidP="00CD3A6F">
            <w:pPr>
              <w:jc w:val="center"/>
            </w:pPr>
            <w:r>
              <w:t>10</w:t>
            </w:r>
            <w:r>
              <w:rPr>
                <w:vertAlign w:val="superscript"/>
              </w:rPr>
              <w:t>5</w:t>
            </w:r>
          </w:p>
        </w:tc>
        <w:tc>
          <w:tcPr>
            <w:tcW w:w="1361" w:type="dxa"/>
            <w:vAlign w:val="center"/>
          </w:tcPr>
          <w:p w:rsidR="00CA50E2" w:rsidRDefault="00CA50E2" w:rsidP="00CD3A6F">
            <w:pPr>
              <w:jc w:val="center"/>
            </w:pPr>
            <w:r>
              <w:t>0.5%</w:t>
            </w:r>
          </w:p>
        </w:tc>
      </w:tr>
      <w:tr w:rsidR="00CA50E2" w:rsidTr="00CD3A6F">
        <w:trPr>
          <w:trHeight w:val="283"/>
          <w:jc w:val="center"/>
        </w:trPr>
        <w:tc>
          <w:tcPr>
            <w:tcW w:w="1361" w:type="dxa"/>
            <w:vAlign w:val="center"/>
          </w:tcPr>
          <w:p w:rsidR="00CA50E2" w:rsidRPr="00CD3A6F" w:rsidRDefault="00CA50E2" w:rsidP="00CD3A6F">
            <w:pPr>
              <w:jc w:val="center"/>
              <w:rPr>
                <w:b/>
              </w:rPr>
            </w:pPr>
            <w:r w:rsidRPr="00CD3A6F">
              <w:rPr>
                <w:b/>
              </w:rPr>
              <w:t>Blue</w:t>
            </w:r>
          </w:p>
        </w:tc>
        <w:tc>
          <w:tcPr>
            <w:tcW w:w="1361" w:type="dxa"/>
            <w:vAlign w:val="center"/>
          </w:tcPr>
          <w:p w:rsidR="00CA50E2" w:rsidRDefault="00CA50E2" w:rsidP="00CD3A6F">
            <w:pPr>
              <w:jc w:val="center"/>
            </w:pPr>
            <w:r>
              <w:t>6</w:t>
            </w:r>
          </w:p>
        </w:tc>
        <w:tc>
          <w:tcPr>
            <w:tcW w:w="1361" w:type="dxa"/>
            <w:vAlign w:val="center"/>
          </w:tcPr>
          <w:p w:rsidR="00CA50E2" w:rsidRDefault="00CA50E2" w:rsidP="00CD3A6F">
            <w:pPr>
              <w:jc w:val="center"/>
            </w:pPr>
            <w:r>
              <w:t>6</w:t>
            </w:r>
          </w:p>
        </w:tc>
        <w:tc>
          <w:tcPr>
            <w:tcW w:w="1361" w:type="dxa"/>
            <w:vAlign w:val="center"/>
          </w:tcPr>
          <w:p w:rsidR="00CA50E2" w:rsidRDefault="00CA50E2" w:rsidP="00CD3A6F">
            <w:pPr>
              <w:jc w:val="center"/>
            </w:pPr>
            <w:r>
              <w:t>10</w:t>
            </w:r>
            <w:r>
              <w:rPr>
                <w:vertAlign w:val="superscript"/>
              </w:rPr>
              <w:t>6</w:t>
            </w:r>
          </w:p>
        </w:tc>
        <w:tc>
          <w:tcPr>
            <w:tcW w:w="1361" w:type="dxa"/>
            <w:vAlign w:val="center"/>
          </w:tcPr>
          <w:p w:rsidR="00CA50E2" w:rsidRDefault="00CA50E2" w:rsidP="00CD3A6F">
            <w:pPr>
              <w:jc w:val="center"/>
            </w:pPr>
            <w:r>
              <w:t>0.25%</w:t>
            </w:r>
          </w:p>
        </w:tc>
      </w:tr>
      <w:tr w:rsidR="00CA50E2" w:rsidTr="00CD3A6F">
        <w:trPr>
          <w:trHeight w:val="283"/>
          <w:jc w:val="center"/>
        </w:trPr>
        <w:tc>
          <w:tcPr>
            <w:tcW w:w="1361" w:type="dxa"/>
            <w:vAlign w:val="center"/>
          </w:tcPr>
          <w:p w:rsidR="00CA50E2" w:rsidRPr="00CD3A6F" w:rsidRDefault="00CA50E2" w:rsidP="00CD3A6F">
            <w:pPr>
              <w:jc w:val="center"/>
              <w:rPr>
                <w:b/>
              </w:rPr>
            </w:pPr>
            <w:r w:rsidRPr="00CD3A6F">
              <w:rPr>
                <w:b/>
              </w:rPr>
              <w:t>Violet</w:t>
            </w:r>
          </w:p>
        </w:tc>
        <w:tc>
          <w:tcPr>
            <w:tcW w:w="1361" w:type="dxa"/>
            <w:vAlign w:val="center"/>
          </w:tcPr>
          <w:p w:rsidR="00CA50E2" w:rsidRDefault="00CA50E2" w:rsidP="00CD3A6F">
            <w:pPr>
              <w:jc w:val="center"/>
            </w:pPr>
            <w:r>
              <w:t>7</w:t>
            </w:r>
          </w:p>
        </w:tc>
        <w:tc>
          <w:tcPr>
            <w:tcW w:w="1361" w:type="dxa"/>
            <w:vAlign w:val="center"/>
          </w:tcPr>
          <w:p w:rsidR="00CA50E2" w:rsidRDefault="00CA50E2" w:rsidP="00CD3A6F">
            <w:pPr>
              <w:jc w:val="center"/>
            </w:pPr>
            <w:r>
              <w:t>7</w:t>
            </w:r>
          </w:p>
        </w:tc>
        <w:tc>
          <w:tcPr>
            <w:tcW w:w="1361" w:type="dxa"/>
            <w:vAlign w:val="center"/>
          </w:tcPr>
          <w:p w:rsidR="00CA50E2" w:rsidRDefault="00CA50E2" w:rsidP="00CD3A6F">
            <w:pPr>
              <w:jc w:val="center"/>
            </w:pPr>
            <w:r>
              <w:t>10</w:t>
            </w:r>
            <w:r>
              <w:rPr>
                <w:vertAlign w:val="superscript"/>
              </w:rPr>
              <w:t>7</w:t>
            </w:r>
          </w:p>
        </w:tc>
        <w:tc>
          <w:tcPr>
            <w:tcW w:w="1361" w:type="dxa"/>
            <w:vAlign w:val="center"/>
          </w:tcPr>
          <w:p w:rsidR="00CA50E2" w:rsidRDefault="00CA50E2" w:rsidP="00CD3A6F">
            <w:pPr>
              <w:jc w:val="center"/>
            </w:pPr>
            <w:r>
              <w:t>0.1%</w:t>
            </w:r>
          </w:p>
        </w:tc>
      </w:tr>
      <w:tr w:rsidR="00CA50E2" w:rsidTr="00CD3A6F">
        <w:trPr>
          <w:trHeight w:val="283"/>
          <w:jc w:val="center"/>
        </w:trPr>
        <w:tc>
          <w:tcPr>
            <w:tcW w:w="1361" w:type="dxa"/>
            <w:vAlign w:val="center"/>
          </w:tcPr>
          <w:p w:rsidR="00CA50E2" w:rsidRPr="00CD3A6F" w:rsidRDefault="00CA50E2" w:rsidP="00CD3A6F">
            <w:pPr>
              <w:jc w:val="center"/>
              <w:rPr>
                <w:b/>
              </w:rPr>
            </w:pPr>
            <w:r w:rsidRPr="00CD3A6F">
              <w:rPr>
                <w:b/>
              </w:rPr>
              <w:t>Grey</w:t>
            </w:r>
          </w:p>
        </w:tc>
        <w:tc>
          <w:tcPr>
            <w:tcW w:w="1361" w:type="dxa"/>
            <w:vAlign w:val="center"/>
          </w:tcPr>
          <w:p w:rsidR="00CA50E2" w:rsidRDefault="00CA50E2" w:rsidP="00CD3A6F">
            <w:pPr>
              <w:jc w:val="center"/>
            </w:pPr>
            <w:r>
              <w:t>8</w:t>
            </w:r>
          </w:p>
        </w:tc>
        <w:tc>
          <w:tcPr>
            <w:tcW w:w="1361" w:type="dxa"/>
            <w:vAlign w:val="center"/>
          </w:tcPr>
          <w:p w:rsidR="00CA50E2" w:rsidRDefault="00CA50E2" w:rsidP="00CD3A6F">
            <w:pPr>
              <w:jc w:val="center"/>
            </w:pPr>
            <w:r>
              <w:t>8</w:t>
            </w:r>
          </w:p>
        </w:tc>
        <w:tc>
          <w:tcPr>
            <w:tcW w:w="1361" w:type="dxa"/>
            <w:vAlign w:val="center"/>
          </w:tcPr>
          <w:p w:rsidR="00CA50E2" w:rsidRDefault="00CA50E2" w:rsidP="00CD3A6F">
            <w:pPr>
              <w:jc w:val="center"/>
            </w:pPr>
            <w:r>
              <w:t>10</w:t>
            </w:r>
            <w:r>
              <w:rPr>
                <w:vertAlign w:val="superscript"/>
              </w:rPr>
              <w:t>8</w:t>
            </w:r>
          </w:p>
        </w:tc>
        <w:tc>
          <w:tcPr>
            <w:tcW w:w="1361" w:type="dxa"/>
            <w:vAlign w:val="center"/>
          </w:tcPr>
          <w:p w:rsidR="00CA50E2" w:rsidRDefault="00CA50E2" w:rsidP="00CD3A6F">
            <w:pPr>
              <w:jc w:val="center"/>
            </w:pPr>
            <w:r>
              <w:t>-</w:t>
            </w:r>
          </w:p>
        </w:tc>
      </w:tr>
      <w:tr w:rsidR="00CA50E2" w:rsidTr="00CD3A6F">
        <w:trPr>
          <w:trHeight w:val="283"/>
          <w:jc w:val="center"/>
        </w:trPr>
        <w:tc>
          <w:tcPr>
            <w:tcW w:w="1361" w:type="dxa"/>
            <w:vAlign w:val="center"/>
          </w:tcPr>
          <w:p w:rsidR="00CA50E2" w:rsidRPr="00CD3A6F" w:rsidRDefault="00CA50E2" w:rsidP="00CD3A6F">
            <w:pPr>
              <w:jc w:val="center"/>
              <w:rPr>
                <w:b/>
              </w:rPr>
            </w:pPr>
            <w:r w:rsidRPr="00CD3A6F">
              <w:rPr>
                <w:b/>
              </w:rPr>
              <w:t>White</w:t>
            </w:r>
          </w:p>
        </w:tc>
        <w:tc>
          <w:tcPr>
            <w:tcW w:w="1361" w:type="dxa"/>
            <w:vAlign w:val="center"/>
          </w:tcPr>
          <w:p w:rsidR="00CA50E2" w:rsidRDefault="00CA50E2" w:rsidP="00CD3A6F">
            <w:pPr>
              <w:jc w:val="center"/>
            </w:pPr>
            <w:r>
              <w:t>9</w:t>
            </w:r>
          </w:p>
        </w:tc>
        <w:tc>
          <w:tcPr>
            <w:tcW w:w="1361" w:type="dxa"/>
            <w:vAlign w:val="center"/>
          </w:tcPr>
          <w:p w:rsidR="00CA50E2" w:rsidRDefault="00CA50E2" w:rsidP="00CD3A6F">
            <w:pPr>
              <w:jc w:val="center"/>
            </w:pPr>
            <w:r>
              <w:t>9</w:t>
            </w:r>
          </w:p>
        </w:tc>
        <w:tc>
          <w:tcPr>
            <w:tcW w:w="1361" w:type="dxa"/>
            <w:vAlign w:val="center"/>
          </w:tcPr>
          <w:p w:rsidR="00CA50E2" w:rsidRDefault="00CA50E2" w:rsidP="00CD3A6F">
            <w:pPr>
              <w:jc w:val="center"/>
            </w:pPr>
            <w:r>
              <w:t>10</w:t>
            </w:r>
            <w:r>
              <w:rPr>
                <w:vertAlign w:val="superscript"/>
              </w:rPr>
              <w:t>9</w:t>
            </w:r>
          </w:p>
        </w:tc>
        <w:tc>
          <w:tcPr>
            <w:tcW w:w="1361" w:type="dxa"/>
            <w:vAlign w:val="center"/>
          </w:tcPr>
          <w:p w:rsidR="00CA50E2" w:rsidRDefault="00CA50E2" w:rsidP="00CD3A6F">
            <w:pPr>
              <w:jc w:val="center"/>
            </w:pPr>
            <w:r>
              <w:t>-</w:t>
            </w:r>
          </w:p>
        </w:tc>
      </w:tr>
    </w:tbl>
    <w:p w:rsidR="00266423" w:rsidRDefault="00266423" w:rsidP="00CD3A6F">
      <w:pPr>
        <w:autoSpaceDE/>
        <w:autoSpaceDN/>
        <w:adjustRightInd/>
        <w:spacing w:after="200" w:line="276" w:lineRule="auto"/>
        <w:jc w:val="center"/>
        <w:textAlignment w:val="auto"/>
      </w:pPr>
    </w:p>
    <w:p w:rsidR="00266423" w:rsidRDefault="00266423" w:rsidP="00266423">
      <w:pPr>
        <w:autoSpaceDE/>
        <w:autoSpaceDN/>
        <w:adjustRightInd/>
        <w:spacing w:after="200" w:line="276" w:lineRule="auto"/>
        <w:ind w:left="851"/>
        <w:textAlignment w:val="auto"/>
        <w:rPr>
          <w:b/>
        </w:rPr>
      </w:pPr>
      <w:r w:rsidRPr="00F561B4">
        <w:rPr>
          <w:b/>
        </w:rPr>
        <w:t>Calculation example:</w:t>
      </w:r>
    </w:p>
    <w:p w:rsidR="00266423" w:rsidRDefault="00266423" w:rsidP="00266423">
      <w:pPr>
        <w:autoSpaceDE/>
        <w:autoSpaceDN/>
        <w:adjustRightInd/>
        <w:spacing w:after="200" w:line="276" w:lineRule="auto"/>
        <w:ind w:left="851"/>
        <w:textAlignment w:val="auto"/>
        <w:rPr>
          <w:rFonts w:eastAsiaTheme="minorEastAsia"/>
        </w:rPr>
      </w:pPr>
      <w:r>
        <w:t>You</w:t>
      </w:r>
      <w:r>
        <w:t xml:space="preserve"> have a resistor with the four following bands: red, black, orange and gold</w:t>
      </w:r>
      <w:r>
        <w:rPr>
          <w:rFonts w:eastAsiaTheme="minorEastAsia"/>
        </w:rPr>
        <w:t>.</w:t>
      </w:r>
      <w:r>
        <w:rPr>
          <w:rFonts w:eastAsiaTheme="minorEastAsia"/>
        </w:rPr>
        <w:t xml:space="preserve"> </w:t>
      </w:r>
    </w:p>
    <w:p w:rsidR="00266423" w:rsidRDefault="00266423" w:rsidP="00266423">
      <w:pPr>
        <w:autoSpaceDE/>
        <w:autoSpaceDN/>
        <w:adjustRightInd/>
        <w:spacing w:after="200" w:line="276" w:lineRule="auto"/>
        <w:ind w:left="851"/>
        <w:textAlignment w:val="auto"/>
        <w:rPr>
          <w:rFonts w:eastAsiaTheme="minorEastAsia"/>
        </w:rPr>
      </w:pPr>
      <w:r>
        <w:rPr>
          <w:rFonts w:eastAsiaTheme="minorEastAsia"/>
        </w:rPr>
        <w:t>The first and second significant figures are 2 (red) and 0 (black).</w:t>
      </w:r>
    </w:p>
    <w:p w:rsidR="00266423" w:rsidRDefault="00266423" w:rsidP="00266423">
      <w:pPr>
        <w:autoSpaceDE/>
        <w:autoSpaceDN/>
        <w:adjustRightInd/>
        <w:spacing w:after="200" w:line="276" w:lineRule="auto"/>
        <w:ind w:left="851"/>
        <w:textAlignment w:val="auto"/>
        <w:rPr>
          <w:rFonts w:eastAsiaTheme="minorEastAsia"/>
        </w:rPr>
      </w:pPr>
      <w:r>
        <w:rPr>
          <w:rFonts w:eastAsiaTheme="minorEastAsia"/>
        </w:rPr>
        <w:t>The multiplier is 10</w:t>
      </w:r>
      <w:r w:rsidRPr="00266423">
        <w:rPr>
          <w:rFonts w:eastAsiaTheme="minorEastAsia"/>
          <w:vertAlign w:val="superscript"/>
        </w:rPr>
        <w:t>3</w:t>
      </w:r>
      <w:r>
        <w:rPr>
          <w:rFonts w:eastAsiaTheme="minorEastAsia"/>
        </w:rPr>
        <w:t xml:space="preserve"> (orange) and the tolerance is 5% (gold). </w:t>
      </w:r>
    </w:p>
    <w:p w:rsidR="00C26C5A" w:rsidRPr="00A63A8B" w:rsidRDefault="00266423" w:rsidP="00266423">
      <w:pPr>
        <w:autoSpaceDE/>
        <w:autoSpaceDN/>
        <w:adjustRightInd/>
        <w:spacing w:after="200" w:line="276" w:lineRule="auto"/>
        <w:ind w:left="851"/>
        <w:textAlignment w:val="auto"/>
      </w:pPr>
      <w:r>
        <w:rPr>
          <w:rFonts w:eastAsiaTheme="minorEastAsia"/>
        </w:rPr>
        <w:t>The resistance value is thus</w:t>
      </w:r>
      <w:r w:rsidR="00011F9B">
        <w:rPr>
          <w:rFonts w:eastAsiaTheme="minorEastAsia"/>
        </w:rPr>
        <w:t xml:space="preserve"> </w:t>
      </w:r>
      <m:oMath>
        <m:r>
          <w:rPr>
            <w:rFonts w:ascii="Cambria Math" w:eastAsiaTheme="minorEastAsia" w:hAnsi="Cambria Math"/>
          </w:rPr>
          <m:t xml:space="preserve">20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r>
        <w:rPr>
          <w:rFonts w:eastAsiaTheme="minorEastAsia"/>
        </w:rPr>
        <w:t xml:space="preserve"> </w:t>
      </w:r>
      <m:oMath>
        <m:r>
          <m:rPr>
            <m:sty m:val="p"/>
          </m:rPr>
          <w:rPr>
            <w:rFonts w:ascii="Cambria Math" w:hAnsi="Cambria Math"/>
          </w:rPr>
          <m:t>Ω</m:t>
        </m:r>
        <m:r>
          <w:rPr>
            <w:rFonts w:ascii="Cambria Math" w:eastAsiaTheme="minorEastAsia" w:hAnsi="Cambria Math"/>
          </w:rPr>
          <m:t xml:space="preserve"> ± </m:t>
        </m:r>
      </m:oMath>
      <w:r>
        <w:rPr>
          <w:rFonts w:eastAsiaTheme="minorEastAsia"/>
        </w:rPr>
        <w:t xml:space="preserve">5% </w:t>
      </w:r>
      <w:r w:rsidR="00011F9B">
        <w:rPr>
          <w:rFonts w:eastAsiaTheme="minorEastAsia"/>
        </w:rPr>
        <w:t xml:space="preserve"> </w:t>
      </w:r>
      <m:oMath>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20 ±1</m:t>
            </m:r>
          </m:e>
        </m:d>
      </m:oMath>
      <w:r>
        <w:rPr>
          <w:rFonts w:eastAsiaTheme="minorEastAsia"/>
        </w:rPr>
        <w:t xml:space="preserve"> </w:t>
      </w:r>
      <m:oMath>
        <m:r>
          <m:rPr>
            <m:sty m:val="p"/>
          </m:rPr>
          <w:rPr>
            <w:rFonts w:ascii="Cambria Math" w:eastAsiaTheme="minorEastAsia" w:hAnsi="Cambria Math"/>
          </w:rPr>
          <m:t>k</m:t>
        </m:r>
        <m:r>
          <m:rPr>
            <m:sty m:val="p"/>
          </m:rPr>
          <w:rPr>
            <w:rFonts w:ascii="Cambria Math" w:hAnsi="Cambria Math"/>
          </w:rPr>
          <m:t>Ω</m:t>
        </m:r>
      </m:oMath>
      <w:r>
        <w:rPr>
          <w:rFonts w:eastAsiaTheme="minorEastAsia"/>
        </w:rPr>
        <w:t xml:space="preserve">.     </w:t>
      </w:r>
      <w:bookmarkStart w:id="9" w:name="_GoBack"/>
      <w:bookmarkEnd w:id="9"/>
      <w:r w:rsidR="00C26C5A">
        <w:br w:type="page"/>
      </w:r>
    </w:p>
    <w:p w:rsidR="00216A20" w:rsidRDefault="00216A20" w:rsidP="00BB30CA">
      <w:pPr>
        <w:pStyle w:val="Heading3"/>
      </w:pPr>
      <w:r>
        <w:lastRenderedPageBreak/>
        <w:t>Measuring the voltage</w:t>
      </w:r>
    </w:p>
    <w:p w:rsidR="00C26C5A" w:rsidRPr="00AC6F3F" w:rsidRDefault="00C26C5A" w:rsidP="00C26C5A">
      <w:pPr>
        <w:rPr>
          <w:lang w:val="en-GB"/>
        </w:rPr>
      </w:pPr>
      <w:r w:rsidRPr="00C26C5A">
        <w:rPr>
          <w:rStyle w:val="CrossRefChar"/>
        </w:rPr>
        <w:fldChar w:fldCharType="begin"/>
      </w:r>
      <w:r w:rsidRPr="00C26C5A">
        <w:rPr>
          <w:rStyle w:val="CrossRefChar"/>
        </w:rPr>
        <w:instrText xml:space="preserve"> REF _Ref362607025 \h </w:instrText>
      </w:r>
      <w:r>
        <w:rPr>
          <w:rStyle w:val="CrossRefChar"/>
        </w:rPr>
        <w:instrText xml:space="preserve"> \* MERGEFORMAT </w:instrText>
      </w:r>
      <w:r w:rsidRPr="00C26C5A">
        <w:rPr>
          <w:rStyle w:val="CrossRefChar"/>
        </w:rPr>
      </w:r>
      <w:r w:rsidRPr="00C26C5A">
        <w:rPr>
          <w:rStyle w:val="CrossRefChar"/>
        </w:rPr>
        <w:fldChar w:fldCharType="separate"/>
      </w:r>
      <w:r w:rsidRPr="00C26C5A">
        <w:rPr>
          <w:rStyle w:val="CrossRefChar"/>
        </w:rPr>
        <w:t>Figure 7</w:t>
      </w:r>
      <w:r w:rsidRPr="00C26C5A">
        <w:rPr>
          <w:rStyle w:val="CrossRefChar"/>
        </w:rPr>
        <w:fldChar w:fldCharType="end"/>
      </w:r>
      <w:r>
        <w:rPr>
          <w:lang w:val="en-GB"/>
        </w:rPr>
        <w:t xml:space="preserve"> presents the circuit diagram for measuring the voltage value in a simple circuit using a voltmeter. To use the voltmeter </w:t>
      </w:r>
      <w:r w:rsidR="002D3282">
        <w:rPr>
          <w:lang w:val="en-GB"/>
        </w:rPr>
        <w:t>from</w:t>
      </w:r>
      <w:r>
        <w:rPr>
          <w:lang w:val="en-GB"/>
        </w:rPr>
        <w:t xml:space="preserve"> the </w:t>
      </w:r>
      <w:proofErr w:type="spellStart"/>
      <w:r>
        <w:rPr>
          <w:lang w:val="en-GB"/>
        </w:rPr>
        <w:t>myDAQ</w:t>
      </w:r>
      <w:proofErr w:type="spellEnd"/>
      <w:r>
        <w:rPr>
          <w:lang w:val="en-GB"/>
        </w:rPr>
        <w:t xml:space="preserve">, you need to select it from the list of instruments in the Digital </w:t>
      </w:r>
      <w:proofErr w:type="spellStart"/>
      <w:r>
        <w:rPr>
          <w:lang w:val="en-GB"/>
        </w:rPr>
        <w:t>Multimeter</w:t>
      </w:r>
      <w:proofErr w:type="spellEnd"/>
      <w:r>
        <w:rPr>
          <w:lang w:val="en-GB"/>
        </w:rPr>
        <w:t xml:space="preserve"> window (</w:t>
      </w:r>
      <w:r>
        <w:t xml:space="preserve">it is represented by the V symbols).  The first one is for direct current and the second one is for alternating currents. </w:t>
      </w:r>
      <w:r>
        <w:rPr>
          <w:lang w:val="en-GB"/>
        </w:rPr>
        <w:t xml:space="preserve">  </w:t>
      </w:r>
    </w:p>
    <w:p w:rsidR="002544AF" w:rsidRDefault="002544AF" w:rsidP="002544AF">
      <w:pPr>
        <w:rPr>
          <w:lang w:val="en-GB"/>
        </w:rPr>
      </w:pPr>
    </w:p>
    <w:p w:rsidR="00C26C5A" w:rsidRDefault="00C26C5A" w:rsidP="00C26C5A">
      <w:pPr>
        <w:keepNext/>
      </w:pPr>
      <w:r>
        <w:rPr>
          <w:noProof/>
          <w:lang w:eastAsia="en-CA"/>
        </w:rPr>
        <w:drawing>
          <wp:inline distT="0" distB="0" distL="0" distR="0" wp14:anchorId="23FCC78E" wp14:editId="338053D9">
            <wp:extent cx="5943600" cy="2068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tmeter.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2068830"/>
                    </a:xfrm>
                    <a:prstGeom prst="rect">
                      <a:avLst/>
                    </a:prstGeom>
                  </pic:spPr>
                </pic:pic>
              </a:graphicData>
            </a:graphic>
          </wp:inline>
        </w:drawing>
      </w:r>
    </w:p>
    <w:p w:rsidR="00C26C5A" w:rsidRDefault="00C26C5A" w:rsidP="00C26C5A">
      <w:pPr>
        <w:keepNext/>
      </w:pPr>
    </w:p>
    <w:p w:rsidR="00C26C5A" w:rsidRPr="00C26C5A" w:rsidRDefault="00C26C5A" w:rsidP="00C26C5A">
      <w:pPr>
        <w:pStyle w:val="Caption"/>
        <w:rPr>
          <w:lang w:val="en-GB"/>
        </w:rPr>
      </w:pPr>
      <w:bookmarkStart w:id="10" w:name="_Ref362607025"/>
      <w:r>
        <w:t xml:space="preserve">Figure </w:t>
      </w:r>
      <w:r w:rsidR="00B153C0">
        <w:fldChar w:fldCharType="begin"/>
      </w:r>
      <w:r w:rsidR="00B153C0">
        <w:instrText xml:space="preserve"> SEQ Figure \* ARABIC </w:instrText>
      </w:r>
      <w:r w:rsidR="00B153C0">
        <w:fldChar w:fldCharType="separate"/>
      </w:r>
      <w:r>
        <w:rPr>
          <w:noProof/>
        </w:rPr>
        <w:t>7</w:t>
      </w:r>
      <w:r w:rsidR="00B153C0">
        <w:rPr>
          <w:noProof/>
        </w:rPr>
        <w:fldChar w:fldCharType="end"/>
      </w:r>
      <w:bookmarkEnd w:id="10"/>
      <w:r>
        <w:t xml:space="preserve"> -Using the </w:t>
      </w:r>
      <w:proofErr w:type="spellStart"/>
      <w:r>
        <w:t>myDAQ</w:t>
      </w:r>
      <w:proofErr w:type="spellEnd"/>
      <w:r>
        <w:t xml:space="preserve"> as a voltmeter</w:t>
      </w:r>
      <w:r>
        <w:br/>
      </w:r>
    </w:p>
    <w:p w:rsidR="00C26C5A" w:rsidRDefault="00C26C5A" w:rsidP="00ED0FCA">
      <w:pPr>
        <w:autoSpaceDE/>
        <w:autoSpaceDN/>
        <w:adjustRightInd/>
        <w:spacing w:after="200" w:line="276" w:lineRule="auto"/>
        <w:ind w:left="851"/>
        <w:textAlignment w:val="auto"/>
        <w:rPr>
          <w:b/>
        </w:rPr>
      </w:pPr>
      <w:r w:rsidRPr="00F561B4">
        <w:rPr>
          <w:b/>
        </w:rPr>
        <w:t>Calculation example:</w:t>
      </w:r>
    </w:p>
    <w:p w:rsidR="00C26C5A" w:rsidRDefault="00C26C5A" w:rsidP="00ED0FCA">
      <w:pPr>
        <w:autoSpaceDE/>
        <w:autoSpaceDN/>
        <w:adjustRightInd/>
        <w:spacing w:after="200" w:line="276" w:lineRule="auto"/>
        <w:ind w:left="851"/>
        <w:textAlignment w:val="auto"/>
        <w:rPr>
          <w:rFonts w:eastAsiaTheme="minorEastAsia"/>
        </w:rPr>
      </w:pPr>
      <w:r>
        <w:t>Your voltmeter has a reading of 1.276 V</w:t>
      </w:r>
      <w:r>
        <w:rPr>
          <w:rFonts w:eastAsiaTheme="minorEastAsia"/>
        </w:rPr>
        <w:t xml:space="preserve"> (set on the 2.000 V range). </w:t>
      </w:r>
    </w:p>
    <w:p w:rsidR="00C26C5A" w:rsidRDefault="00C26C5A" w:rsidP="00ED0FCA">
      <w:pPr>
        <w:autoSpaceDE/>
        <w:autoSpaceDN/>
        <w:adjustRightInd/>
        <w:spacing w:after="200" w:line="276" w:lineRule="auto"/>
        <w:ind w:left="851"/>
        <w:textAlignment w:val="auto"/>
      </w:pPr>
      <w:r>
        <w:rPr>
          <w:rFonts w:eastAsiaTheme="minorEastAsia"/>
        </w:rPr>
        <w:t xml:space="preserve">From the </w:t>
      </w:r>
      <w:hyperlink r:id="rId18" w:history="1">
        <w:proofErr w:type="spellStart"/>
        <w:r>
          <w:rPr>
            <w:rStyle w:val="Hyperlink"/>
          </w:rPr>
          <w:t>myDAQ</w:t>
        </w:r>
        <w:proofErr w:type="spellEnd"/>
        <w:r>
          <w:rPr>
            <w:rStyle w:val="Hyperlink"/>
          </w:rPr>
          <w:t xml:space="preserve"> specifications</w:t>
        </w:r>
      </w:hyperlink>
      <w:r>
        <w:t xml:space="preserve">, you know that the accuracy of that reading is </w:t>
      </w:r>
      <m:oMath>
        <m:r>
          <w:rPr>
            <w:rFonts w:ascii="Cambria Math" w:hAnsi="Cambria Math"/>
          </w:rPr>
          <m:t>±</m:t>
        </m:r>
      </m:oMath>
      <w:r>
        <w:t xml:space="preserve"> (0.5% + 2 mV). The percentage part is a percentage of the reading value to which you have to add a constant value of 2 mV</w:t>
      </w:r>
      <w:r>
        <w:rPr>
          <w:rFonts w:eastAsiaTheme="minorEastAsia"/>
        </w:rPr>
        <w:t xml:space="preserve"> whatever the reading is. This translates as</w:t>
      </w:r>
      <w:r>
        <w:t>:</w:t>
      </w:r>
    </w:p>
    <w:p w:rsidR="00C26C5A" w:rsidRDefault="00C26C5A" w:rsidP="00ED0FCA">
      <w:pPr>
        <w:autoSpaceDE/>
        <w:autoSpaceDN/>
        <w:adjustRightInd/>
        <w:spacing w:after="200" w:line="276" w:lineRule="auto"/>
        <w:ind w:left="851"/>
        <w:textAlignment w:val="auto"/>
        <w:rPr>
          <w:rFonts w:eastAsiaTheme="minorEastAsia"/>
        </w:rPr>
      </w:pPr>
      <w:r>
        <w:tab/>
      </w:r>
      <m:oMath>
        <m:r>
          <w:rPr>
            <w:rFonts w:ascii="Cambria Math" w:hAnsi="Cambria Math"/>
          </w:rPr>
          <m:t>±</m:t>
        </m:r>
      </m:oMath>
      <w:r>
        <w:t xml:space="preserve"> (0.5% + 2 mV)  </w:t>
      </w:r>
      <m:oMath>
        <m:r>
          <w:rPr>
            <w:rFonts w:ascii="Cambria Math" w:hAnsi="Cambria Math"/>
          </w:rPr>
          <m:t>= ±</m:t>
        </m:r>
        <m:d>
          <m:dPr>
            <m:ctrlPr>
              <w:rPr>
                <w:rFonts w:ascii="Cambria Math" w:hAnsi="Cambria Math"/>
                <w:i/>
              </w:rPr>
            </m:ctrlPr>
          </m:dPr>
          <m:e>
            <m:r>
              <w:rPr>
                <w:rFonts w:ascii="Cambria Math" w:hAnsi="Cambria Math"/>
              </w:rPr>
              <m:t>0.005 ×1.276+0.002</m:t>
            </m:r>
          </m:e>
        </m:d>
      </m:oMath>
      <w:r>
        <w:rPr>
          <w:rFonts w:eastAsiaTheme="minorEastAsia"/>
        </w:rPr>
        <w:t xml:space="preserve"> V </w:t>
      </w:r>
      <m:oMath>
        <m:r>
          <w:rPr>
            <w:rFonts w:ascii="Cambria Math" w:eastAsiaTheme="minorEastAsia" w:hAnsi="Cambria Math"/>
          </w:rPr>
          <m:t>=</m:t>
        </m:r>
        <m:r>
          <w:rPr>
            <w:rFonts w:ascii="Cambria Math" w:hAnsi="Cambria Math"/>
          </w:rPr>
          <m:t xml:space="preserve">± </m:t>
        </m:r>
        <m:r>
          <w:rPr>
            <w:rFonts w:ascii="Cambria Math" w:eastAsiaTheme="minorEastAsia" w:hAnsi="Cambria Math"/>
          </w:rPr>
          <m:t>0.00838</m:t>
        </m:r>
      </m:oMath>
      <w:r>
        <w:rPr>
          <w:rFonts w:eastAsiaTheme="minorEastAsia"/>
        </w:rPr>
        <w:t xml:space="preserve"> V.</w:t>
      </w:r>
    </w:p>
    <w:p w:rsidR="00C26C5A" w:rsidRPr="00C26C5A" w:rsidRDefault="00C26C5A" w:rsidP="00ED0FCA">
      <w:pPr>
        <w:ind w:left="851"/>
      </w:pPr>
      <w:r>
        <w:rPr>
          <w:rFonts w:eastAsiaTheme="minorEastAsia"/>
        </w:rPr>
        <w:t xml:space="preserve">Consequently, your final reading is </w:t>
      </w:r>
      <m:oMath>
        <m:d>
          <m:dPr>
            <m:ctrlPr>
              <w:rPr>
                <w:rFonts w:ascii="Cambria Math" w:eastAsiaTheme="minorEastAsia" w:hAnsi="Cambria Math"/>
                <w:i/>
              </w:rPr>
            </m:ctrlPr>
          </m:dPr>
          <m:e>
            <m:r>
              <w:rPr>
                <w:rFonts w:ascii="Cambria Math" w:eastAsiaTheme="minorEastAsia" w:hAnsi="Cambria Math"/>
              </w:rPr>
              <m:t>1.276 ±0.008</m:t>
            </m:r>
          </m:e>
        </m:d>
      </m:oMath>
      <w:r>
        <w:rPr>
          <w:rFonts w:eastAsiaTheme="minorEastAsia"/>
        </w:rPr>
        <w:t xml:space="preserve"> V.</w:t>
      </w:r>
      <w:r>
        <w:rPr>
          <w:rFonts w:eastAsiaTheme="minorEastAsia"/>
        </w:rPr>
        <w:tab/>
      </w:r>
      <w:r>
        <w:rPr>
          <w:rFonts w:eastAsiaTheme="minorEastAsia"/>
        </w:rPr>
        <w:br/>
      </w:r>
    </w:p>
    <w:p w:rsidR="00C26C5A" w:rsidRDefault="00C26C5A" w:rsidP="002544AF">
      <w:pPr>
        <w:rPr>
          <w:lang w:val="en-GB"/>
        </w:rPr>
      </w:pPr>
    </w:p>
    <w:p w:rsidR="00C26C5A" w:rsidRDefault="00C26C5A" w:rsidP="002544AF">
      <w:pPr>
        <w:rPr>
          <w:lang w:val="en-GB"/>
        </w:rPr>
      </w:pPr>
    </w:p>
    <w:p w:rsidR="00C26C5A" w:rsidRDefault="00C26C5A" w:rsidP="002544AF">
      <w:pPr>
        <w:rPr>
          <w:lang w:val="en-GB"/>
        </w:rPr>
      </w:pPr>
    </w:p>
    <w:p w:rsidR="00C26C5A" w:rsidRPr="002544AF" w:rsidRDefault="00C26C5A" w:rsidP="002544AF">
      <w:pPr>
        <w:rPr>
          <w:lang w:val="en-GB"/>
        </w:rPr>
      </w:pPr>
    </w:p>
    <w:p w:rsidR="00C26C5A" w:rsidRDefault="00C26C5A">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rsidR="00216A20" w:rsidRDefault="00216A20" w:rsidP="00BB30CA">
      <w:pPr>
        <w:pStyle w:val="Heading3"/>
      </w:pPr>
      <w:r>
        <w:lastRenderedPageBreak/>
        <w:t>Measuring the current</w:t>
      </w:r>
    </w:p>
    <w:p w:rsidR="00C26C5A" w:rsidRPr="00AC6F3F" w:rsidRDefault="00C26C5A" w:rsidP="00C26C5A">
      <w:pPr>
        <w:rPr>
          <w:lang w:val="en-GB"/>
        </w:rPr>
      </w:pPr>
      <w:r w:rsidRPr="00C26C5A">
        <w:rPr>
          <w:rStyle w:val="CrossRefChar"/>
        </w:rPr>
        <w:fldChar w:fldCharType="begin"/>
      </w:r>
      <w:r w:rsidRPr="00C26C5A">
        <w:rPr>
          <w:rStyle w:val="CrossRefChar"/>
        </w:rPr>
        <w:instrText xml:space="preserve"> REF _Ref362607493 \h </w:instrText>
      </w:r>
      <w:r>
        <w:rPr>
          <w:rStyle w:val="CrossRefChar"/>
        </w:rPr>
        <w:instrText xml:space="preserve"> \* MERGEFORMAT </w:instrText>
      </w:r>
      <w:r w:rsidRPr="00C26C5A">
        <w:rPr>
          <w:rStyle w:val="CrossRefChar"/>
        </w:rPr>
      </w:r>
      <w:r w:rsidRPr="00C26C5A">
        <w:rPr>
          <w:rStyle w:val="CrossRefChar"/>
        </w:rPr>
        <w:fldChar w:fldCharType="separate"/>
      </w:r>
      <w:r w:rsidRPr="00C26C5A">
        <w:rPr>
          <w:rStyle w:val="CrossRefChar"/>
        </w:rPr>
        <w:t>Figure 8</w:t>
      </w:r>
      <w:r w:rsidRPr="00C26C5A">
        <w:rPr>
          <w:rStyle w:val="CrossRefChar"/>
        </w:rPr>
        <w:fldChar w:fldCharType="end"/>
      </w:r>
      <w:r>
        <w:rPr>
          <w:lang w:val="en-GB"/>
        </w:rPr>
        <w:t xml:space="preserve"> presents the circuit diagram for measuring the current passing through a simple circuit using an ammeter. To use the ammeter </w:t>
      </w:r>
      <w:r w:rsidR="002D3282">
        <w:rPr>
          <w:lang w:val="en-GB"/>
        </w:rPr>
        <w:t>from</w:t>
      </w:r>
      <w:r>
        <w:rPr>
          <w:lang w:val="en-GB"/>
        </w:rPr>
        <w:t xml:space="preserve"> the </w:t>
      </w:r>
      <w:proofErr w:type="spellStart"/>
      <w:r>
        <w:rPr>
          <w:lang w:val="en-GB"/>
        </w:rPr>
        <w:t>myDAQ</w:t>
      </w:r>
      <w:proofErr w:type="spellEnd"/>
      <w:r>
        <w:rPr>
          <w:lang w:val="en-GB"/>
        </w:rPr>
        <w:t xml:space="preserve">, you need to select it from the list of instruments in the Digital </w:t>
      </w:r>
      <w:proofErr w:type="spellStart"/>
      <w:r>
        <w:rPr>
          <w:lang w:val="en-GB"/>
        </w:rPr>
        <w:t>Multimeter</w:t>
      </w:r>
      <w:proofErr w:type="spellEnd"/>
      <w:r>
        <w:rPr>
          <w:lang w:val="en-GB"/>
        </w:rPr>
        <w:t xml:space="preserve"> window (</w:t>
      </w:r>
      <w:r>
        <w:t xml:space="preserve">it is represented by the </w:t>
      </w:r>
      <w:r w:rsidR="00F837CF">
        <w:t>A</w:t>
      </w:r>
      <w:r>
        <w:t xml:space="preserve"> symbols).  The first one is for direct current and the second one is for alternating currents. </w:t>
      </w:r>
      <w:r>
        <w:rPr>
          <w:lang w:val="en-GB"/>
        </w:rPr>
        <w:t xml:space="preserve">  </w:t>
      </w:r>
    </w:p>
    <w:p w:rsidR="00EB4690" w:rsidRDefault="00EB4690" w:rsidP="00C26C5A"/>
    <w:p w:rsidR="00EB4690" w:rsidRDefault="00EB4690" w:rsidP="00FC518F">
      <w:pPr>
        <w:jc w:val="center"/>
      </w:pPr>
    </w:p>
    <w:p w:rsidR="00C26C5A" w:rsidRDefault="00EB4690" w:rsidP="00C26C5A">
      <w:pPr>
        <w:keepNext/>
        <w:jc w:val="center"/>
      </w:pPr>
      <w:r>
        <w:rPr>
          <w:noProof/>
          <w:lang w:eastAsia="en-CA"/>
        </w:rPr>
        <w:drawing>
          <wp:inline distT="0" distB="0" distL="0" distR="0" wp14:anchorId="54FC0284" wp14:editId="62F96861">
            <wp:extent cx="5943600" cy="15201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eter.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1520190"/>
                    </a:xfrm>
                    <a:prstGeom prst="rect">
                      <a:avLst/>
                    </a:prstGeom>
                  </pic:spPr>
                </pic:pic>
              </a:graphicData>
            </a:graphic>
          </wp:inline>
        </w:drawing>
      </w:r>
    </w:p>
    <w:p w:rsidR="00C26C5A" w:rsidRDefault="00C26C5A" w:rsidP="00C26C5A">
      <w:pPr>
        <w:keepNext/>
        <w:jc w:val="center"/>
      </w:pPr>
    </w:p>
    <w:p w:rsidR="00EB4690" w:rsidRDefault="00C26C5A" w:rsidP="00C26C5A">
      <w:pPr>
        <w:pStyle w:val="Caption"/>
      </w:pPr>
      <w:bookmarkStart w:id="11" w:name="_Ref362607493"/>
      <w:r>
        <w:t xml:space="preserve">Figure </w:t>
      </w:r>
      <w:r w:rsidR="00B153C0">
        <w:fldChar w:fldCharType="begin"/>
      </w:r>
      <w:r w:rsidR="00B153C0">
        <w:instrText xml:space="preserve"> SEQ Figure \* ARABIC </w:instrText>
      </w:r>
      <w:r w:rsidR="00B153C0">
        <w:fldChar w:fldCharType="separate"/>
      </w:r>
      <w:r>
        <w:rPr>
          <w:noProof/>
        </w:rPr>
        <w:t>8</w:t>
      </w:r>
      <w:r w:rsidR="00B153C0">
        <w:rPr>
          <w:noProof/>
        </w:rPr>
        <w:fldChar w:fldCharType="end"/>
      </w:r>
      <w:bookmarkEnd w:id="11"/>
      <w:r>
        <w:t xml:space="preserve"> - </w:t>
      </w:r>
      <w:r w:rsidRPr="003552B2">
        <w:t xml:space="preserve">Using the </w:t>
      </w:r>
      <w:proofErr w:type="spellStart"/>
      <w:r>
        <w:t>myDAQ</w:t>
      </w:r>
      <w:proofErr w:type="spellEnd"/>
      <w:r>
        <w:t xml:space="preserve"> as an am</w:t>
      </w:r>
      <w:r w:rsidRPr="003552B2">
        <w:t>meter</w:t>
      </w:r>
    </w:p>
    <w:p w:rsidR="00F837CF" w:rsidRDefault="00F837CF" w:rsidP="00F837CF"/>
    <w:p w:rsidR="00F837CF" w:rsidRDefault="00F837CF" w:rsidP="00ED0FCA">
      <w:pPr>
        <w:autoSpaceDE/>
        <w:autoSpaceDN/>
        <w:adjustRightInd/>
        <w:spacing w:after="200" w:line="276" w:lineRule="auto"/>
        <w:ind w:left="851"/>
        <w:textAlignment w:val="auto"/>
        <w:rPr>
          <w:b/>
        </w:rPr>
      </w:pPr>
      <w:r w:rsidRPr="00F561B4">
        <w:rPr>
          <w:b/>
        </w:rPr>
        <w:t>Calculation example:</w:t>
      </w:r>
    </w:p>
    <w:p w:rsidR="00F837CF" w:rsidRDefault="00F837CF" w:rsidP="00ED0FCA">
      <w:pPr>
        <w:autoSpaceDE/>
        <w:autoSpaceDN/>
        <w:adjustRightInd/>
        <w:spacing w:after="200" w:line="276" w:lineRule="auto"/>
        <w:ind w:left="851"/>
        <w:textAlignment w:val="auto"/>
        <w:rPr>
          <w:rFonts w:eastAsiaTheme="minorEastAsia"/>
        </w:rPr>
      </w:pPr>
      <w:r>
        <w:t xml:space="preserve">Your ammeter has a reading of 0.057 </w:t>
      </w:r>
      <w:proofErr w:type="gramStart"/>
      <w:r>
        <w:t>A</w:t>
      </w:r>
      <w:proofErr w:type="gramEnd"/>
      <w:r>
        <w:rPr>
          <w:rFonts w:eastAsiaTheme="minorEastAsia"/>
        </w:rPr>
        <w:t xml:space="preserve"> (set on the 1.000 A range). </w:t>
      </w:r>
    </w:p>
    <w:p w:rsidR="00F837CF" w:rsidRDefault="00F837CF" w:rsidP="00ED0FCA">
      <w:pPr>
        <w:autoSpaceDE/>
        <w:autoSpaceDN/>
        <w:adjustRightInd/>
        <w:spacing w:after="200" w:line="276" w:lineRule="auto"/>
        <w:ind w:left="851"/>
        <w:textAlignment w:val="auto"/>
      </w:pPr>
      <w:r>
        <w:rPr>
          <w:rFonts w:eastAsiaTheme="minorEastAsia"/>
        </w:rPr>
        <w:t xml:space="preserve">From the </w:t>
      </w:r>
      <w:hyperlink r:id="rId20" w:history="1">
        <w:proofErr w:type="spellStart"/>
        <w:r>
          <w:rPr>
            <w:rStyle w:val="Hyperlink"/>
          </w:rPr>
          <w:t>myDAQ</w:t>
        </w:r>
        <w:proofErr w:type="spellEnd"/>
        <w:r>
          <w:rPr>
            <w:rStyle w:val="Hyperlink"/>
          </w:rPr>
          <w:t xml:space="preserve"> specifications</w:t>
        </w:r>
      </w:hyperlink>
      <w:r>
        <w:t xml:space="preserve">, you know that the accuracy of that reading is </w:t>
      </w:r>
      <m:oMath>
        <m:r>
          <w:rPr>
            <w:rFonts w:ascii="Cambria Math" w:hAnsi="Cambria Math"/>
          </w:rPr>
          <m:t>±</m:t>
        </m:r>
      </m:oMath>
      <w:r>
        <w:t xml:space="preserve"> (0.5% + 2 mA). The percentage part is a percentage of the reading value to which you have to add a constant value of 2 mA</w:t>
      </w:r>
      <w:r>
        <w:rPr>
          <w:rFonts w:eastAsiaTheme="minorEastAsia"/>
        </w:rPr>
        <w:t xml:space="preserve"> whatever the reading is. This translates as</w:t>
      </w:r>
      <w:r>
        <w:t>:</w:t>
      </w:r>
    </w:p>
    <w:p w:rsidR="00F837CF" w:rsidRDefault="00F837CF" w:rsidP="00ED0FCA">
      <w:pPr>
        <w:autoSpaceDE/>
        <w:autoSpaceDN/>
        <w:adjustRightInd/>
        <w:spacing w:after="200" w:line="276" w:lineRule="auto"/>
        <w:ind w:left="851"/>
        <w:textAlignment w:val="auto"/>
        <w:rPr>
          <w:rFonts w:eastAsiaTheme="minorEastAsia"/>
        </w:rPr>
      </w:pPr>
      <w:r>
        <w:tab/>
      </w:r>
      <m:oMath>
        <m:r>
          <w:rPr>
            <w:rFonts w:ascii="Cambria Math" w:hAnsi="Cambria Math"/>
          </w:rPr>
          <m:t>±</m:t>
        </m:r>
      </m:oMath>
      <w:r>
        <w:t xml:space="preserve"> (0.5% + 2 mA)  </w:t>
      </w:r>
      <m:oMath>
        <m:r>
          <w:rPr>
            <w:rFonts w:ascii="Cambria Math" w:hAnsi="Cambria Math"/>
          </w:rPr>
          <m:t>= ±</m:t>
        </m:r>
        <m:d>
          <m:dPr>
            <m:ctrlPr>
              <w:rPr>
                <w:rFonts w:ascii="Cambria Math" w:hAnsi="Cambria Math"/>
                <w:i/>
              </w:rPr>
            </m:ctrlPr>
          </m:dPr>
          <m:e>
            <m:r>
              <w:rPr>
                <w:rFonts w:ascii="Cambria Math" w:hAnsi="Cambria Math"/>
              </w:rPr>
              <m:t>0.005 ×0.057+0.002</m:t>
            </m:r>
          </m:e>
        </m:d>
      </m:oMath>
      <w:r>
        <w:rPr>
          <w:rFonts w:eastAsiaTheme="minorEastAsia"/>
        </w:rPr>
        <w:t xml:space="preserve"> </w:t>
      </w:r>
      <w:proofErr w:type="gramStart"/>
      <w:r>
        <w:rPr>
          <w:rFonts w:eastAsiaTheme="minorEastAsia"/>
        </w:rPr>
        <w:t>A</w:t>
      </w:r>
      <w:proofErr w:type="gramEnd"/>
      <w:r>
        <w:rPr>
          <w:rFonts w:eastAsiaTheme="minorEastAsia"/>
        </w:rPr>
        <w:t xml:space="preserve"> </w:t>
      </w:r>
      <m:oMath>
        <m:r>
          <w:rPr>
            <w:rFonts w:ascii="Cambria Math" w:eastAsiaTheme="minorEastAsia" w:hAnsi="Cambria Math"/>
          </w:rPr>
          <m:t>=</m:t>
        </m:r>
        <m:r>
          <w:rPr>
            <w:rFonts w:ascii="Cambria Math" w:hAnsi="Cambria Math"/>
          </w:rPr>
          <m:t xml:space="preserve">± </m:t>
        </m:r>
        <m:r>
          <w:rPr>
            <w:rFonts w:ascii="Cambria Math" w:eastAsiaTheme="minorEastAsia" w:hAnsi="Cambria Math"/>
          </w:rPr>
          <m:t>0.002285</m:t>
        </m:r>
      </m:oMath>
      <w:r>
        <w:rPr>
          <w:rFonts w:eastAsiaTheme="minorEastAsia"/>
        </w:rPr>
        <w:t xml:space="preserve"> A.</w:t>
      </w:r>
    </w:p>
    <w:p w:rsidR="00F837CF" w:rsidRPr="00F837CF" w:rsidRDefault="00F837CF" w:rsidP="00ED0FCA">
      <w:pPr>
        <w:ind w:left="851"/>
      </w:pPr>
      <w:r>
        <w:rPr>
          <w:rFonts w:eastAsiaTheme="minorEastAsia"/>
        </w:rPr>
        <w:t xml:space="preserve">Consequently, your final reading is </w:t>
      </w:r>
      <m:oMath>
        <m:d>
          <m:dPr>
            <m:ctrlPr>
              <w:rPr>
                <w:rFonts w:ascii="Cambria Math" w:eastAsiaTheme="minorEastAsia" w:hAnsi="Cambria Math"/>
                <w:i/>
              </w:rPr>
            </m:ctrlPr>
          </m:dPr>
          <m:e>
            <m:r>
              <w:rPr>
                <w:rFonts w:ascii="Cambria Math" w:eastAsiaTheme="minorEastAsia" w:hAnsi="Cambria Math"/>
              </w:rPr>
              <m:t>0.057 ±0.002</m:t>
            </m:r>
          </m:e>
        </m:d>
      </m:oMath>
      <w:r>
        <w:rPr>
          <w:rFonts w:eastAsiaTheme="minorEastAsia"/>
        </w:rPr>
        <w:t xml:space="preserve"> A.</w:t>
      </w:r>
      <w:r>
        <w:rPr>
          <w:rFonts w:eastAsiaTheme="minorEastAsia"/>
        </w:rPr>
        <w:tab/>
      </w:r>
    </w:p>
    <w:sectPr w:rsidR="00F837CF" w:rsidRPr="00F837CF" w:rsidSect="00B35265">
      <w:footerReference w:type="default" r:id="rId21"/>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46" w:rsidRDefault="00DF0A46" w:rsidP="00D04310">
      <w:r>
        <w:separator/>
      </w:r>
    </w:p>
  </w:endnote>
  <w:endnote w:type="continuationSeparator" w:id="0">
    <w:p w:rsidR="00DF0A46" w:rsidRDefault="00DF0A46"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DF0A46" w:rsidTr="00A610E2">
      <w:tc>
        <w:tcPr>
          <w:tcW w:w="4600" w:type="pct"/>
          <w:tcBorders>
            <w:top w:val="single" w:sz="4" w:space="0" w:color="auto"/>
            <w:right w:val="nil"/>
          </w:tcBorders>
        </w:tcPr>
        <w:p w:rsidR="00DF0A46" w:rsidRPr="004677E7" w:rsidRDefault="008E1EB9" w:rsidP="007649D1">
          <w:pPr>
            <w:pStyle w:val="Footer"/>
            <w:jc w:val="left"/>
          </w:pPr>
          <w:r>
            <w:fldChar w:fldCharType="begin"/>
          </w:r>
          <w:r>
            <w:instrText xml:space="preserve"> REF _Ref358967577 \h </w:instrText>
          </w:r>
          <w:r>
            <w:fldChar w:fldCharType="separate"/>
          </w:r>
          <w:r w:rsidR="00E448C3">
            <w:t>Tutorial</w:t>
          </w:r>
          <w:r w:rsidR="00E448C3" w:rsidRPr="00BE4329">
            <w:t xml:space="preserve"> </w:t>
          </w:r>
          <w:r w:rsidR="00E448C3">
            <w:t>–</w:t>
          </w:r>
          <w:r w:rsidR="00E448C3" w:rsidRPr="00BE4329">
            <w:t xml:space="preserve"> </w:t>
          </w:r>
          <w:r w:rsidR="00E448C3">
            <w:t xml:space="preserve">Building circuits &amp; using a </w:t>
          </w:r>
          <w:proofErr w:type="spellStart"/>
          <w:r w:rsidR="00E448C3">
            <w:t>multimeter</w:t>
          </w:r>
          <w:proofErr w:type="spellEnd"/>
          <w:r w:rsidR="00E448C3">
            <w:t xml:space="preserve">   </w:t>
          </w:r>
          <w:r>
            <w:fldChar w:fldCharType="end"/>
          </w:r>
        </w:p>
      </w:tc>
      <w:tc>
        <w:tcPr>
          <w:tcW w:w="400" w:type="pct"/>
          <w:tcBorders>
            <w:top w:val="single" w:sz="4" w:space="0" w:color="auto"/>
            <w:left w:val="nil"/>
          </w:tcBorders>
        </w:tcPr>
        <w:p w:rsidR="00DF0A46" w:rsidRPr="00A610E2" w:rsidRDefault="00DF0A46"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B153C0" w:rsidRPr="00B153C0">
            <w:rPr>
              <w:bCs/>
              <w:noProof/>
              <w:color w:val="auto"/>
            </w:rPr>
            <w:t>5</w:t>
          </w:r>
          <w:r w:rsidRPr="00A610E2">
            <w:rPr>
              <w:bCs/>
              <w:noProof/>
              <w:color w:val="auto"/>
            </w:rPr>
            <w:fldChar w:fldCharType="end"/>
          </w:r>
        </w:p>
      </w:tc>
    </w:tr>
  </w:tbl>
  <w:p w:rsidR="00DF0A46" w:rsidRDefault="00DF0A46"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46" w:rsidRDefault="00DF0A46" w:rsidP="00D04310">
      <w:r>
        <w:separator/>
      </w:r>
    </w:p>
  </w:footnote>
  <w:footnote w:type="continuationSeparator" w:id="0">
    <w:p w:rsidR="00DF0A46" w:rsidRDefault="00DF0A46" w:rsidP="00D0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1606C6B"/>
    <w:multiLevelType w:val="hybridMultilevel"/>
    <w:tmpl w:val="1EDC4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10"/>
  </w:num>
  <w:num w:numId="6">
    <w:abstractNumId w:val="5"/>
  </w:num>
  <w:num w:numId="7">
    <w:abstractNumId w:val="4"/>
  </w:num>
  <w:num w:numId="8">
    <w:abstractNumId w:val="15"/>
  </w:num>
  <w:num w:numId="9">
    <w:abstractNumId w:val="21"/>
  </w:num>
  <w:num w:numId="10">
    <w:abstractNumId w:val="19"/>
  </w:num>
  <w:num w:numId="11">
    <w:abstractNumId w:val="0"/>
  </w:num>
  <w:num w:numId="12">
    <w:abstractNumId w:val="3"/>
  </w:num>
  <w:num w:numId="13">
    <w:abstractNumId w:val="9"/>
  </w:num>
  <w:num w:numId="14">
    <w:abstractNumId w:val="14"/>
  </w:num>
  <w:num w:numId="15">
    <w:abstractNumId w:val="17"/>
  </w:num>
  <w:num w:numId="16">
    <w:abstractNumId w:val="20"/>
  </w:num>
  <w:num w:numId="17">
    <w:abstractNumId w:val="13"/>
  </w:num>
  <w:num w:numId="18">
    <w:abstractNumId w:val="6"/>
  </w:num>
  <w:num w:numId="19">
    <w:abstractNumId w:val="2"/>
  </w:num>
  <w:num w:numId="20">
    <w:abstractNumId w:val="18"/>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1F9B"/>
    <w:rsid w:val="000143D0"/>
    <w:rsid w:val="000160ED"/>
    <w:rsid w:val="0003016D"/>
    <w:rsid w:val="00030592"/>
    <w:rsid w:val="00032FC8"/>
    <w:rsid w:val="00035867"/>
    <w:rsid w:val="0004637E"/>
    <w:rsid w:val="00053B41"/>
    <w:rsid w:val="000540D3"/>
    <w:rsid w:val="0006400C"/>
    <w:rsid w:val="00076985"/>
    <w:rsid w:val="00077E2A"/>
    <w:rsid w:val="00082F0B"/>
    <w:rsid w:val="00087D5B"/>
    <w:rsid w:val="0009587E"/>
    <w:rsid w:val="000978A1"/>
    <w:rsid w:val="000A1594"/>
    <w:rsid w:val="000A53F9"/>
    <w:rsid w:val="000B3373"/>
    <w:rsid w:val="000C1C03"/>
    <w:rsid w:val="000C47FD"/>
    <w:rsid w:val="000E55BE"/>
    <w:rsid w:val="000F0847"/>
    <w:rsid w:val="000F1D74"/>
    <w:rsid w:val="000F7D4C"/>
    <w:rsid w:val="001148D5"/>
    <w:rsid w:val="00117D70"/>
    <w:rsid w:val="00124086"/>
    <w:rsid w:val="00130007"/>
    <w:rsid w:val="00131250"/>
    <w:rsid w:val="00133383"/>
    <w:rsid w:val="00134554"/>
    <w:rsid w:val="00154BFF"/>
    <w:rsid w:val="00156A57"/>
    <w:rsid w:val="00160105"/>
    <w:rsid w:val="0016287D"/>
    <w:rsid w:val="00167BA7"/>
    <w:rsid w:val="00174962"/>
    <w:rsid w:val="001821B5"/>
    <w:rsid w:val="001A21B0"/>
    <w:rsid w:val="001A6E6F"/>
    <w:rsid w:val="001B4A47"/>
    <w:rsid w:val="001B5EC4"/>
    <w:rsid w:val="00210680"/>
    <w:rsid w:val="00216A20"/>
    <w:rsid w:val="00217E54"/>
    <w:rsid w:val="00222807"/>
    <w:rsid w:val="002371B8"/>
    <w:rsid w:val="00243D8B"/>
    <w:rsid w:val="00244E47"/>
    <w:rsid w:val="002544AF"/>
    <w:rsid w:val="00266423"/>
    <w:rsid w:val="002853C6"/>
    <w:rsid w:val="002903A6"/>
    <w:rsid w:val="0029709D"/>
    <w:rsid w:val="002A0537"/>
    <w:rsid w:val="002A51BC"/>
    <w:rsid w:val="002B3D31"/>
    <w:rsid w:val="002B56BF"/>
    <w:rsid w:val="002B56F6"/>
    <w:rsid w:val="002C39FD"/>
    <w:rsid w:val="002D1DCA"/>
    <w:rsid w:val="002D3282"/>
    <w:rsid w:val="002D3C8A"/>
    <w:rsid w:val="002D73A6"/>
    <w:rsid w:val="002E290A"/>
    <w:rsid w:val="002E3CE5"/>
    <w:rsid w:val="002E5E27"/>
    <w:rsid w:val="002F1666"/>
    <w:rsid w:val="002F23E0"/>
    <w:rsid w:val="002F6683"/>
    <w:rsid w:val="00302795"/>
    <w:rsid w:val="0030300F"/>
    <w:rsid w:val="0031213E"/>
    <w:rsid w:val="003121A6"/>
    <w:rsid w:val="00314DA2"/>
    <w:rsid w:val="00317D38"/>
    <w:rsid w:val="00321AF5"/>
    <w:rsid w:val="003335E4"/>
    <w:rsid w:val="00336DED"/>
    <w:rsid w:val="00340B5C"/>
    <w:rsid w:val="00343D55"/>
    <w:rsid w:val="00346871"/>
    <w:rsid w:val="0035479B"/>
    <w:rsid w:val="00356D06"/>
    <w:rsid w:val="00361F92"/>
    <w:rsid w:val="00371C34"/>
    <w:rsid w:val="0037382D"/>
    <w:rsid w:val="00384283"/>
    <w:rsid w:val="00387032"/>
    <w:rsid w:val="00391DAF"/>
    <w:rsid w:val="0039511B"/>
    <w:rsid w:val="00397DF2"/>
    <w:rsid w:val="003A19D8"/>
    <w:rsid w:val="003A286F"/>
    <w:rsid w:val="003A70D2"/>
    <w:rsid w:val="003C15EF"/>
    <w:rsid w:val="003C3E64"/>
    <w:rsid w:val="003D0FBF"/>
    <w:rsid w:val="003D7ECA"/>
    <w:rsid w:val="003E23EB"/>
    <w:rsid w:val="003E4326"/>
    <w:rsid w:val="004029FD"/>
    <w:rsid w:val="0040439E"/>
    <w:rsid w:val="00405D3C"/>
    <w:rsid w:val="0041734D"/>
    <w:rsid w:val="00420AAA"/>
    <w:rsid w:val="0043712C"/>
    <w:rsid w:val="00463AB9"/>
    <w:rsid w:val="00464636"/>
    <w:rsid w:val="00465B5A"/>
    <w:rsid w:val="00465F79"/>
    <w:rsid w:val="004677E7"/>
    <w:rsid w:val="00483D0B"/>
    <w:rsid w:val="00486C75"/>
    <w:rsid w:val="004936DA"/>
    <w:rsid w:val="00493BBA"/>
    <w:rsid w:val="004A258A"/>
    <w:rsid w:val="004B2DA6"/>
    <w:rsid w:val="004E633D"/>
    <w:rsid w:val="004F2927"/>
    <w:rsid w:val="004F59AA"/>
    <w:rsid w:val="004F7E5C"/>
    <w:rsid w:val="005167CE"/>
    <w:rsid w:val="0052422E"/>
    <w:rsid w:val="005308B3"/>
    <w:rsid w:val="00536957"/>
    <w:rsid w:val="005413DE"/>
    <w:rsid w:val="00544EEF"/>
    <w:rsid w:val="00550682"/>
    <w:rsid w:val="00554189"/>
    <w:rsid w:val="00567637"/>
    <w:rsid w:val="00572269"/>
    <w:rsid w:val="0057442B"/>
    <w:rsid w:val="005749D9"/>
    <w:rsid w:val="00585FC3"/>
    <w:rsid w:val="00592093"/>
    <w:rsid w:val="00595404"/>
    <w:rsid w:val="00596045"/>
    <w:rsid w:val="005A128E"/>
    <w:rsid w:val="005A3770"/>
    <w:rsid w:val="005B71E4"/>
    <w:rsid w:val="005C3BDB"/>
    <w:rsid w:val="005C54B4"/>
    <w:rsid w:val="005C6288"/>
    <w:rsid w:val="005D1097"/>
    <w:rsid w:val="005D20B1"/>
    <w:rsid w:val="005E6481"/>
    <w:rsid w:val="006024EA"/>
    <w:rsid w:val="00602AAD"/>
    <w:rsid w:val="0060350A"/>
    <w:rsid w:val="0060772A"/>
    <w:rsid w:val="006233D2"/>
    <w:rsid w:val="006516C1"/>
    <w:rsid w:val="006537A1"/>
    <w:rsid w:val="00662161"/>
    <w:rsid w:val="00662BAA"/>
    <w:rsid w:val="0066771A"/>
    <w:rsid w:val="00673FC5"/>
    <w:rsid w:val="00681EE3"/>
    <w:rsid w:val="00682C46"/>
    <w:rsid w:val="0068388C"/>
    <w:rsid w:val="00693B4A"/>
    <w:rsid w:val="00694F97"/>
    <w:rsid w:val="0069541A"/>
    <w:rsid w:val="006A1F9E"/>
    <w:rsid w:val="006A222A"/>
    <w:rsid w:val="006B50B7"/>
    <w:rsid w:val="006D0E09"/>
    <w:rsid w:val="006D149F"/>
    <w:rsid w:val="006D59CB"/>
    <w:rsid w:val="006E565F"/>
    <w:rsid w:val="006F79D0"/>
    <w:rsid w:val="007243AA"/>
    <w:rsid w:val="00736A45"/>
    <w:rsid w:val="00745631"/>
    <w:rsid w:val="00745E2A"/>
    <w:rsid w:val="00747A75"/>
    <w:rsid w:val="007519A5"/>
    <w:rsid w:val="007649D1"/>
    <w:rsid w:val="00785812"/>
    <w:rsid w:val="00787434"/>
    <w:rsid w:val="007920D2"/>
    <w:rsid w:val="00797AB3"/>
    <w:rsid w:val="007A0E6C"/>
    <w:rsid w:val="007B387A"/>
    <w:rsid w:val="007B3AC0"/>
    <w:rsid w:val="007B6E4F"/>
    <w:rsid w:val="007C27B2"/>
    <w:rsid w:val="007C6740"/>
    <w:rsid w:val="007D0BA2"/>
    <w:rsid w:val="007E384D"/>
    <w:rsid w:val="007F73C2"/>
    <w:rsid w:val="0080111B"/>
    <w:rsid w:val="00803ED8"/>
    <w:rsid w:val="00805293"/>
    <w:rsid w:val="00806104"/>
    <w:rsid w:val="008065CD"/>
    <w:rsid w:val="00815006"/>
    <w:rsid w:val="00837CB0"/>
    <w:rsid w:val="00844204"/>
    <w:rsid w:val="00850008"/>
    <w:rsid w:val="00856FFB"/>
    <w:rsid w:val="0086010D"/>
    <w:rsid w:val="00886AE6"/>
    <w:rsid w:val="00892991"/>
    <w:rsid w:val="00892F5C"/>
    <w:rsid w:val="0089739B"/>
    <w:rsid w:val="008A0654"/>
    <w:rsid w:val="008A0D57"/>
    <w:rsid w:val="008A15F4"/>
    <w:rsid w:val="008A3A4F"/>
    <w:rsid w:val="008D0C0D"/>
    <w:rsid w:val="008D4572"/>
    <w:rsid w:val="008E1EB9"/>
    <w:rsid w:val="008E6C03"/>
    <w:rsid w:val="009067EA"/>
    <w:rsid w:val="009075F9"/>
    <w:rsid w:val="00917164"/>
    <w:rsid w:val="00920170"/>
    <w:rsid w:val="009454C5"/>
    <w:rsid w:val="00945718"/>
    <w:rsid w:val="0094678A"/>
    <w:rsid w:val="00956486"/>
    <w:rsid w:val="00973A7F"/>
    <w:rsid w:val="00983CEB"/>
    <w:rsid w:val="009A5FB5"/>
    <w:rsid w:val="009B1C1E"/>
    <w:rsid w:val="009B6F7B"/>
    <w:rsid w:val="009D287B"/>
    <w:rsid w:val="009E2F2A"/>
    <w:rsid w:val="009E6CE8"/>
    <w:rsid w:val="00A02EDA"/>
    <w:rsid w:val="00A113A2"/>
    <w:rsid w:val="00A145E7"/>
    <w:rsid w:val="00A22D24"/>
    <w:rsid w:val="00A27A1D"/>
    <w:rsid w:val="00A30D9E"/>
    <w:rsid w:val="00A41371"/>
    <w:rsid w:val="00A431F3"/>
    <w:rsid w:val="00A56812"/>
    <w:rsid w:val="00A610E2"/>
    <w:rsid w:val="00A63A8B"/>
    <w:rsid w:val="00A7060F"/>
    <w:rsid w:val="00A851F7"/>
    <w:rsid w:val="00A85465"/>
    <w:rsid w:val="00A92D08"/>
    <w:rsid w:val="00A95C7F"/>
    <w:rsid w:val="00A96014"/>
    <w:rsid w:val="00A9708A"/>
    <w:rsid w:val="00AB543B"/>
    <w:rsid w:val="00AC60B9"/>
    <w:rsid w:val="00AC6F3F"/>
    <w:rsid w:val="00AC7081"/>
    <w:rsid w:val="00AD0E8B"/>
    <w:rsid w:val="00AD186D"/>
    <w:rsid w:val="00AD74F9"/>
    <w:rsid w:val="00AE363C"/>
    <w:rsid w:val="00AE48ED"/>
    <w:rsid w:val="00AF24E4"/>
    <w:rsid w:val="00B01A99"/>
    <w:rsid w:val="00B0310A"/>
    <w:rsid w:val="00B06D66"/>
    <w:rsid w:val="00B12E53"/>
    <w:rsid w:val="00B153C0"/>
    <w:rsid w:val="00B161CF"/>
    <w:rsid w:val="00B261A0"/>
    <w:rsid w:val="00B323BF"/>
    <w:rsid w:val="00B35265"/>
    <w:rsid w:val="00B3539E"/>
    <w:rsid w:val="00B551F4"/>
    <w:rsid w:val="00B5790D"/>
    <w:rsid w:val="00B604EE"/>
    <w:rsid w:val="00B605B4"/>
    <w:rsid w:val="00B650FB"/>
    <w:rsid w:val="00B76594"/>
    <w:rsid w:val="00B82CA5"/>
    <w:rsid w:val="00B85956"/>
    <w:rsid w:val="00B952B7"/>
    <w:rsid w:val="00BA3011"/>
    <w:rsid w:val="00BA3EB8"/>
    <w:rsid w:val="00BA448B"/>
    <w:rsid w:val="00BB30CA"/>
    <w:rsid w:val="00BC71ED"/>
    <w:rsid w:val="00BE4329"/>
    <w:rsid w:val="00BE4535"/>
    <w:rsid w:val="00BF17FA"/>
    <w:rsid w:val="00BF3A5B"/>
    <w:rsid w:val="00C03786"/>
    <w:rsid w:val="00C10996"/>
    <w:rsid w:val="00C11679"/>
    <w:rsid w:val="00C161FA"/>
    <w:rsid w:val="00C2139C"/>
    <w:rsid w:val="00C2290E"/>
    <w:rsid w:val="00C22A8F"/>
    <w:rsid w:val="00C261AE"/>
    <w:rsid w:val="00C26C5A"/>
    <w:rsid w:val="00C32C8E"/>
    <w:rsid w:val="00C4766B"/>
    <w:rsid w:val="00C65221"/>
    <w:rsid w:val="00C70AC1"/>
    <w:rsid w:val="00C750E6"/>
    <w:rsid w:val="00C76182"/>
    <w:rsid w:val="00C76669"/>
    <w:rsid w:val="00C82DF6"/>
    <w:rsid w:val="00C92E9B"/>
    <w:rsid w:val="00C93285"/>
    <w:rsid w:val="00CA2AB3"/>
    <w:rsid w:val="00CA50E2"/>
    <w:rsid w:val="00CA5D26"/>
    <w:rsid w:val="00CA781C"/>
    <w:rsid w:val="00CB772C"/>
    <w:rsid w:val="00CC069B"/>
    <w:rsid w:val="00CC62AD"/>
    <w:rsid w:val="00CD3A6F"/>
    <w:rsid w:val="00CD6BEE"/>
    <w:rsid w:val="00CD7C91"/>
    <w:rsid w:val="00CF75AC"/>
    <w:rsid w:val="00D04310"/>
    <w:rsid w:val="00D12A1F"/>
    <w:rsid w:val="00D25166"/>
    <w:rsid w:val="00D408A4"/>
    <w:rsid w:val="00D40EF6"/>
    <w:rsid w:val="00D50054"/>
    <w:rsid w:val="00D6226C"/>
    <w:rsid w:val="00D64087"/>
    <w:rsid w:val="00D724C2"/>
    <w:rsid w:val="00D80E28"/>
    <w:rsid w:val="00D869D8"/>
    <w:rsid w:val="00D91E91"/>
    <w:rsid w:val="00D97688"/>
    <w:rsid w:val="00DB7419"/>
    <w:rsid w:val="00DD1E5C"/>
    <w:rsid w:val="00DD3E2C"/>
    <w:rsid w:val="00DD54BE"/>
    <w:rsid w:val="00DE3528"/>
    <w:rsid w:val="00DE7853"/>
    <w:rsid w:val="00DF0A46"/>
    <w:rsid w:val="00DF2A9D"/>
    <w:rsid w:val="00DF55AC"/>
    <w:rsid w:val="00E05C7C"/>
    <w:rsid w:val="00E06987"/>
    <w:rsid w:val="00E16B19"/>
    <w:rsid w:val="00E34325"/>
    <w:rsid w:val="00E347D9"/>
    <w:rsid w:val="00E40AFE"/>
    <w:rsid w:val="00E448C3"/>
    <w:rsid w:val="00E51FCE"/>
    <w:rsid w:val="00E577E1"/>
    <w:rsid w:val="00E647D1"/>
    <w:rsid w:val="00E675D3"/>
    <w:rsid w:val="00E77A75"/>
    <w:rsid w:val="00E8566F"/>
    <w:rsid w:val="00EB4690"/>
    <w:rsid w:val="00EB5551"/>
    <w:rsid w:val="00ED0FCA"/>
    <w:rsid w:val="00EE7438"/>
    <w:rsid w:val="00EF1CAA"/>
    <w:rsid w:val="00EF3BB7"/>
    <w:rsid w:val="00F057D3"/>
    <w:rsid w:val="00F21923"/>
    <w:rsid w:val="00F30EB9"/>
    <w:rsid w:val="00F31672"/>
    <w:rsid w:val="00F37EB2"/>
    <w:rsid w:val="00F4721F"/>
    <w:rsid w:val="00F51112"/>
    <w:rsid w:val="00F52DB1"/>
    <w:rsid w:val="00F561B4"/>
    <w:rsid w:val="00F64489"/>
    <w:rsid w:val="00F64AB4"/>
    <w:rsid w:val="00F66761"/>
    <w:rsid w:val="00F66AB1"/>
    <w:rsid w:val="00F67D4E"/>
    <w:rsid w:val="00F71FA5"/>
    <w:rsid w:val="00F81D04"/>
    <w:rsid w:val="00F837CF"/>
    <w:rsid w:val="00F9664F"/>
    <w:rsid w:val="00F968F6"/>
    <w:rsid w:val="00F978DE"/>
    <w:rsid w:val="00FB3C2D"/>
    <w:rsid w:val="00FC518F"/>
    <w:rsid w:val="00FE1F66"/>
    <w:rsid w:val="00FE2C82"/>
    <w:rsid w:val="00FE44B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AF24E4"/>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BB30C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AF24E4"/>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B30C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character" w:styleId="FollowedHyperlink">
    <w:name w:val="FollowedHyperlink"/>
    <w:basedOn w:val="DefaultParagraphFont"/>
    <w:uiPriority w:val="99"/>
    <w:semiHidden/>
    <w:unhideWhenUsed/>
    <w:rsid w:val="008A15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AF24E4"/>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BB30C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AF24E4"/>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B30C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character" w:styleId="FollowedHyperlink">
    <w:name w:val="FollowedHyperlink"/>
    <w:basedOn w:val="DefaultParagraphFont"/>
    <w:uiPriority w:val="99"/>
    <w:semiHidden/>
    <w:unhideWhenUsed/>
    <w:rsid w:val="008A1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phylab.uottawa.ca/specifications/myDAQ_multimeter_uncertaintie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phylab.uottawa.ca/specifications/myDAQ_multimeter_uncertainties.pdf" TargetMode="External"/><Relationship Id="rId20" Type="http://schemas.openxmlformats.org/officeDocument/2006/relationships/hyperlink" Target="http://www.phylab.uottawa.ca/specifications/myDAQ_multimeter_uncertainti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phylab.uottawa.ca/specifications/myDAQ_multimeter_uncertainties.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88260-66D2-415E-B0DC-3F3E75C7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34</cp:revision>
  <cp:lastPrinted>2013-07-15T17:53:00Z</cp:lastPrinted>
  <dcterms:created xsi:type="dcterms:W3CDTF">2013-07-24T18:37:00Z</dcterms:created>
  <dcterms:modified xsi:type="dcterms:W3CDTF">2013-07-26T19:11:00Z</dcterms:modified>
</cp:coreProperties>
</file>