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29" w:rsidRPr="0071513C" w:rsidRDefault="00B35265" w:rsidP="00F64489">
      <w:pPr>
        <w:pStyle w:val="Heading1"/>
        <w:rPr>
          <w:lang w:val="fr-CA"/>
        </w:rPr>
      </w:pPr>
      <w:bookmarkStart w:id="0" w:name="_Ref358291343"/>
      <w:bookmarkStart w:id="1" w:name="_Ref358632470"/>
      <w:bookmarkStart w:id="2" w:name="_Ref358967577"/>
      <w:bookmarkStart w:id="3" w:name="_GoBack"/>
      <w:bookmarkEnd w:id="3"/>
      <w:r w:rsidRPr="0071513C">
        <w:rPr>
          <w:lang w:val="fr-CA"/>
        </w:rPr>
        <w:t>Tutori</w:t>
      </w:r>
      <w:r w:rsidR="000244BE" w:rsidRPr="0071513C">
        <w:rPr>
          <w:lang w:val="fr-CA"/>
        </w:rPr>
        <w:t>e</w:t>
      </w:r>
      <w:r w:rsidRPr="0071513C">
        <w:rPr>
          <w:lang w:val="fr-CA"/>
        </w:rPr>
        <w:t>l</w:t>
      </w:r>
      <w:r w:rsidR="00082F0B" w:rsidRPr="0071513C">
        <w:rPr>
          <w:lang w:val="fr-CA"/>
        </w:rPr>
        <w:t xml:space="preserve"> </w:t>
      </w:r>
      <w:r w:rsidR="00602AAD" w:rsidRPr="0071513C">
        <w:rPr>
          <w:lang w:val="fr-CA"/>
        </w:rPr>
        <w:t>–</w:t>
      </w:r>
      <w:r w:rsidR="00082F0B" w:rsidRPr="0071513C">
        <w:rPr>
          <w:lang w:val="fr-CA"/>
        </w:rPr>
        <w:t xml:space="preserve"> </w:t>
      </w:r>
      <w:bookmarkEnd w:id="0"/>
      <w:bookmarkEnd w:id="1"/>
      <w:r w:rsidR="000244BE" w:rsidRPr="0071513C">
        <w:rPr>
          <w:lang w:val="fr-CA"/>
        </w:rPr>
        <w:t>Préparer un tableau</w:t>
      </w:r>
      <w:bookmarkEnd w:id="2"/>
      <w:r w:rsidR="00A30D9E" w:rsidRPr="0071513C">
        <w:rPr>
          <w:lang w:val="fr-CA"/>
        </w:rPr>
        <w:t xml:space="preserve"> </w:t>
      </w:r>
      <w:r w:rsidR="000244BE" w:rsidRPr="0071513C">
        <w:rPr>
          <w:lang w:val="fr-CA"/>
        </w:rPr>
        <w:t>de résultats</w:t>
      </w:r>
    </w:p>
    <w:p w:rsidR="00CB772C" w:rsidRPr="0071513C" w:rsidRDefault="000244BE" w:rsidP="00AF24E4">
      <w:pPr>
        <w:pStyle w:val="Heading2"/>
        <w:rPr>
          <w:lang w:val="fr-CA"/>
        </w:rPr>
      </w:pPr>
      <w:r w:rsidRPr="0071513C">
        <w:rPr>
          <w:lang w:val="fr-CA"/>
        </w:rPr>
        <w:t>Préparer un tableau</w:t>
      </w:r>
    </w:p>
    <w:p w:rsidR="008E1EB9" w:rsidRPr="0071513C" w:rsidRDefault="000244BE" w:rsidP="008E1EB9">
      <w:pPr>
        <w:rPr>
          <w:lang w:val="fr-CA"/>
        </w:rPr>
      </w:pPr>
      <w:r w:rsidRPr="0071513C">
        <w:rPr>
          <w:lang w:val="fr-CA"/>
        </w:rPr>
        <w:t>Voici un exemple d’un tableau approprié pour les laboratoires de physique</w:t>
      </w:r>
      <w:r w:rsidR="008E1EB9" w:rsidRPr="0071513C">
        <w:rPr>
          <w:lang w:val="fr-CA"/>
        </w:rPr>
        <w:t>:</w:t>
      </w:r>
    </w:p>
    <w:p w:rsidR="008E1EB9" w:rsidRPr="0071513C" w:rsidRDefault="008E1EB9" w:rsidP="008E1EB9">
      <w:pPr>
        <w:rPr>
          <w:lang w:val="fr-CA"/>
        </w:rPr>
      </w:pPr>
    </w:p>
    <w:p w:rsidR="008E1EB9" w:rsidRPr="0071513C" w:rsidRDefault="008E1EB9" w:rsidP="008E1EB9">
      <w:pPr>
        <w:pStyle w:val="Caption"/>
        <w:keepNext/>
        <w:rPr>
          <w:lang w:val="fr-CA"/>
        </w:rPr>
      </w:pPr>
      <w:bookmarkStart w:id="4" w:name="_Ref358970402"/>
      <w:r w:rsidRPr="0071513C">
        <w:rPr>
          <w:lang w:val="fr-CA"/>
        </w:rPr>
        <w:t>Table</w:t>
      </w:r>
      <w:r w:rsidR="000244BE" w:rsidRPr="0071513C">
        <w:rPr>
          <w:lang w:val="fr-CA"/>
        </w:rPr>
        <w:t>au</w:t>
      </w:r>
      <w:r w:rsidRPr="0071513C">
        <w:rPr>
          <w:lang w:val="fr-CA"/>
        </w:rPr>
        <w:t xml:space="preserve"> </w:t>
      </w:r>
      <w:r w:rsidR="006B50B7" w:rsidRPr="0071513C">
        <w:rPr>
          <w:lang w:val="fr-CA"/>
        </w:rPr>
        <w:fldChar w:fldCharType="begin"/>
      </w:r>
      <w:r w:rsidR="006B50B7" w:rsidRPr="0071513C">
        <w:rPr>
          <w:lang w:val="fr-CA"/>
        </w:rPr>
        <w:instrText xml:space="preserve"> SEQ Table \* ARABIC </w:instrText>
      </w:r>
      <w:r w:rsidR="006B50B7" w:rsidRPr="0071513C">
        <w:rPr>
          <w:lang w:val="fr-CA"/>
        </w:rPr>
        <w:fldChar w:fldCharType="separate"/>
      </w:r>
      <w:r w:rsidR="00ED5483">
        <w:rPr>
          <w:noProof/>
          <w:lang w:val="fr-CA"/>
        </w:rPr>
        <w:t>1</w:t>
      </w:r>
      <w:r w:rsidR="006B50B7" w:rsidRPr="0071513C">
        <w:rPr>
          <w:noProof/>
          <w:lang w:val="fr-CA"/>
        </w:rPr>
        <w:fldChar w:fldCharType="end"/>
      </w:r>
      <w:bookmarkEnd w:id="4"/>
      <w:r w:rsidRPr="0071513C">
        <w:rPr>
          <w:lang w:val="fr-CA"/>
        </w:rPr>
        <w:t xml:space="preserve"> </w:t>
      </w:r>
      <w:r w:rsidR="000244BE" w:rsidRPr="0071513C">
        <w:rPr>
          <w:lang w:val="fr-CA"/>
        </w:rPr>
        <w:t>–</w:t>
      </w:r>
      <w:r w:rsidRPr="0071513C">
        <w:rPr>
          <w:lang w:val="fr-CA"/>
        </w:rPr>
        <w:t xml:space="preserve"> </w:t>
      </w:r>
      <w:r w:rsidR="000244BE" w:rsidRPr="0071513C">
        <w:rPr>
          <w:lang w:val="fr-CA"/>
        </w:rPr>
        <w:t>Déplacement d’un chariot à vitesse constante</w:t>
      </w:r>
    </w:p>
    <w:tbl>
      <w:tblPr>
        <w:tblStyle w:val="TableGrid"/>
        <w:tblW w:w="2500" w:type="pct"/>
        <w:jc w:val="center"/>
        <w:tblBorders>
          <w:insideH w:val="single" w:sz="6" w:space="0" w:color="auto"/>
          <w:insideV w:val="single" w:sz="6" w:space="0" w:color="auto"/>
        </w:tblBorders>
        <w:tblLook w:val="01E0" w:firstRow="1" w:lastRow="1" w:firstColumn="1" w:lastColumn="1" w:noHBand="0" w:noVBand="0"/>
      </w:tblPr>
      <w:tblGrid>
        <w:gridCol w:w="2394"/>
        <w:gridCol w:w="2394"/>
      </w:tblGrid>
      <w:tr w:rsidR="008E1EB9" w:rsidRPr="0071513C" w:rsidTr="00397DF2">
        <w:trPr>
          <w:trHeight w:val="283"/>
          <w:jc w:val="center"/>
        </w:trPr>
        <w:tc>
          <w:tcPr>
            <w:tcW w:w="2500" w:type="pct"/>
            <w:tcBorders>
              <w:top w:val="single" w:sz="4" w:space="0" w:color="auto"/>
              <w:bottom w:val="nil"/>
              <w:right w:val="single" w:sz="4" w:space="0" w:color="auto"/>
            </w:tcBorders>
            <w:shd w:val="clear" w:color="auto" w:fill="DBE5F1" w:themeFill="accent1" w:themeFillTint="33"/>
            <w:vAlign w:val="center"/>
          </w:tcPr>
          <w:p w:rsidR="008E1EB9" w:rsidRPr="0071513C" w:rsidRDefault="000244BE" w:rsidP="005A128E">
            <w:pPr>
              <w:jc w:val="center"/>
              <w:rPr>
                <w:b/>
                <w:lang w:val="fr-CA"/>
              </w:rPr>
            </w:pPr>
            <w:r w:rsidRPr="0071513C">
              <w:rPr>
                <w:b/>
                <w:lang w:val="fr-CA"/>
              </w:rPr>
              <w:t>Temps</w:t>
            </w:r>
            <w:r w:rsidR="008E1EB9" w:rsidRPr="0071513C">
              <w:rPr>
                <w:b/>
                <w:lang w:val="fr-CA"/>
              </w:rPr>
              <w:t xml:space="preserve">, </w:t>
            </w:r>
            <m:oMath>
              <m:r>
                <m:rPr>
                  <m:sty m:val="bi"/>
                </m:rPr>
                <w:rPr>
                  <w:rFonts w:ascii="Cambria Math" w:hAnsi="Cambria Math"/>
                  <w:lang w:val="fr-CA"/>
                </w:rPr>
                <m:t>t</m:t>
              </m:r>
            </m:oMath>
            <w:r w:rsidR="005A128E" w:rsidRPr="0071513C">
              <w:rPr>
                <w:b/>
                <w:lang w:val="fr-CA"/>
              </w:rPr>
              <w:t xml:space="preserve"> </w:t>
            </w:r>
          </w:p>
        </w:tc>
        <w:tc>
          <w:tcPr>
            <w:tcW w:w="2500" w:type="pct"/>
            <w:tcBorders>
              <w:top w:val="single" w:sz="4" w:space="0" w:color="auto"/>
              <w:left w:val="single" w:sz="4" w:space="0" w:color="auto"/>
              <w:bottom w:val="nil"/>
            </w:tcBorders>
            <w:shd w:val="clear" w:color="auto" w:fill="DBE5F1" w:themeFill="accent1" w:themeFillTint="33"/>
            <w:vAlign w:val="center"/>
          </w:tcPr>
          <w:p w:rsidR="008E1EB9" w:rsidRPr="0071513C" w:rsidRDefault="008E1EB9" w:rsidP="005A128E">
            <w:pPr>
              <w:jc w:val="center"/>
              <w:rPr>
                <w:b/>
                <w:lang w:val="fr-CA"/>
              </w:rPr>
            </w:pPr>
            <w:r w:rsidRPr="0071513C">
              <w:rPr>
                <w:b/>
                <w:lang w:val="fr-CA"/>
              </w:rPr>
              <w:t xml:space="preserve">Distance, </w:t>
            </w:r>
            <m:oMath>
              <m:r>
                <m:rPr>
                  <m:sty m:val="bi"/>
                </m:rPr>
                <w:rPr>
                  <w:rFonts w:ascii="Cambria Math" w:hAnsi="Cambria Math"/>
                  <w:lang w:val="fr-CA"/>
                </w:rPr>
                <m:t>d</m:t>
              </m:r>
            </m:oMath>
          </w:p>
        </w:tc>
      </w:tr>
      <w:tr w:rsidR="005A128E" w:rsidRPr="0071513C" w:rsidTr="00397DF2">
        <w:trPr>
          <w:trHeight w:val="283"/>
          <w:jc w:val="center"/>
        </w:trPr>
        <w:tc>
          <w:tcPr>
            <w:tcW w:w="2500" w:type="pct"/>
            <w:tcBorders>
              <w:top w:val="nil"/>
              <w:left w:val="single" w:sz="4" w:space="0" w:color="auto"/>
              <w:bottom w:val="nil"/>
              <w:right w:val="single" w:sz="4" w:space="0" w:color="auto"/>
            </w:tcBorders>
            <w:shd w:val="clear" w:color="auto" w:fill="DBE5F1" w:themeFill="accent1" w:themeFillTint="33"/>
            <w:vAlign w:val="center"/>
          </w:tcPr>
          <w:p w:rsidR="005A128E" w:rsidRPr="0071513C" w:rsidRDefault="005A128E" w:rsidP="005A128E">
            <w:pPr>
              <w:jc w:val="center"/>
              <w:rPr>
                <w:b/>
                <w:lang w:val="fr-CA"/>
              </w:rPr>
            </w:pPr>
            <w:r w:rsidRPr="0071513C">
              <w:rPr>
                <w:b/>
                <w:lang w:val="fr-CA"/>
              </w:rPr>
              <w:t>(s)</w:t>
            </w:r>
          </w:p>
        </w:tc>
        <w:tc>
          <w:tcPr>
            <w:tcW w:w="2500" w:type="pct"/>
            <w:tcBorders>
              <w:top w:val="nil"/>
              <w:left w:val="single" w:sz="4" w:space="0" w:color="auto"/>
              <w:bottom w:val="nil"/>
              <w:right w:val="single" w:sz="4" w:space="0" w:color="auto"/>
            </w:tcBorders>
            <w:shd w:val="clear" w:color="auto" w:fill="DBE5F1" w:themeFill="accent1" w:themeFillTint="33"/>
            <w:vAlign w:val="center"/>
          </w:tcPr>
          <w:p w:rsidR="005A128E" w:rsidRPr="0071513C" w:rsidRDefault="005A128E" w:rsidP="00A35A00">
            <w:pPr>
              <w:jc w:val="center"/>
              <w:rPr>
                <w:b/>
                <w:lang w:val="fr-CA"/>
              </w:rPr>
            </w:pPr>
            <w:r w:rsidRPr="0071513C">
              <w:rPr>
                <w:b/>
                <w:lang w:val="fr-CA"/>
              </w:rPr>
              <w:t>(mm)×10</w:t>
            </w:r>
            <w:r w:rsidRPr="0071513C">
              <w:rPr>
                <w:b/>
                <w:vertAlign w:val="superscript"/>
                <w:lang w:val="fr-CA"/>
              </w:rPr>
              <w:t>3</w:t>
            </w:r>
          </w:p>
        </w:tc>
      </w:tr>
      <w:tr w:rsidR="005A128E" w:rsidRPr="0071513C" w:rsidTr="00397DF2">
        <w:trPr>
          <w:trHeight w:val="283"/>
          <w:jc w:val="center"/>
        </w:trPr>
        <w:tc>
          <w:tcPr>
            <w:tcW w:w="2500" w:type="pct"/>
            <w:tcBorders>
              <w:top w:val="nil"/>
              <w:left w:val="single" w:sz="4" w:space="0" w:color="auto"/>
              <w:bottom w:val="single" w:sz="4" w:space="0" w:color="auto"/>
              <w:right w:val="single" w:sz="4" w:space="0" w:color="auto"/>
            </w:tcBorders>
            <w:shd w:val="clear" w:color="auto" w:fill="DBE5F1" w:themeFill="accent1" w:themeFillTint="33"/>
            <w:vAlign w:val="center"/>
          </w:tcPr>
          <w:p w:rsidR="005A128E" w:rsidRPr="0071513C" w:rsidRDefault="005A128E" w:rsidP="00A35A00">
            <w:pPr>
              <w:jc w:val="center"/>
              <w:rPr>
                <w:b/>
                <w:lang w:val="fr-CA"/>
              </w:rPr>
            </w:pPr>
            <w:r w:rsidRPr="0071513C">
              <w:rPr>
                <w:b/>
                <w:lang w:val="fr-CA"/>
              </w:rPr>
              <w:t>± 0.2</w:t>
            </w:r>
          </w:p>
        </w:tc>
        <w:tc>
          <w:tcPr>
            <w:tcW w:w="2500" w:type="pct"/>
            <w:tcBorders>
              <w:top w:val="nil"/>
              <w:left w:val="single" w:sz="4" w:space="0" w:color="auto"/>
              <w:bottom w:val="single" w:sz="4" w:space="0" w:color="auto"/>
              <w:right w:val="single" w:sz="4" w:space="0" w:color="auto"/>
            </w:tcBorders>
            <w:shd w:val="clear" w:color="auto" w:fill="DBE5F1" w:themeFill="accent1" w:themeFillTint="33"/>
            <w:vAlign w:val="center"/>
          </w:tcPr>
          <w:p w:rsidR="005A128E" w:rsidRPr="0071513C" w:rsidRDefault="005A128E" w:rsidP="00A35A00">
            <w:pPr>
              <w:jc w:val="center"/>
              <w:rPr>
                <w:b/>
                <w:lang w:val="fr-CA"/>
              </w:rPr>
            </w:pPr>
            <w:r w:rsidRPr="0071513C">
              <w:rPr>
                <w:b/>
                <w:lang w:val="fr-CA"/>
              </w:rPr>
              <w:t>± 5%</w:t>
            </w:r>
          </w:p>
        </w:tc>
      </w:tr>
      <w:tr w:rsidR="008E1EB9" w:rsidRPr="0071513C" w:rsidTr="00803ED8">
        <w:trPr>
          <w:trHeight w:val="283"/>
          <w:jc w:val="center"/>
        </w:trPr>
        <w:tc>
          <w:tcPr>
            <w:tcW w:w="2500" w:type="pct"/>
            <w:tcBorders>
              <w:top w:val="single" w:sz="4" w:space="0" w:color="auto"/>
            </w:tcBorders>
            <w:vAlign w:val="center"/>
          </w:tcPr>
          <w:p w:rsidR="008E1EB9" w:rsidRPr="0071513C" w:rsidRDefault="008E1EB9" w:rsidP="00A35A00">
            <w:pPr>
              <w:jc w:val="center"/>
              <w:rPr>
                <w:lang w:val="fr-CA"/>
              </w:rPr>
            </w:pPr>
            <w:r w:rsidRPr="0071513C">
              <w:rPr>
                <w:lang w:val="fr-CA"/>
              </w:rPr>
              <w:t>1.0</w:t>
            </w:r>
          </w:p>
        </w:tc>
        <w:tc>
          <w:tcPr>
            <w:tcW w:w="2500" w:type="pct"/>
            <w:tcBorders>
              <w:top w:val="single" w:sz="4" w:space="0" w:color="auto"/>
            </w:tcBorders>
            <w:vAlign w:val="center"/>
          </w:tcPr>
          <w:p w:rsidR="008E1EB9" w:rsidRPr="0071513C" w:rsidRDefault="008E1EB9" w:rsidP="00A35A00">
            <w:pPr>
              <w:jc w:val="center"/>
              <w:rPr>
                <w:lang w:val="fr-CA"/>
              </w:rPr>
            </w:pPr>
            <w:r w:rsidRPr="0071513C">
              <w:rPr>
                <w:lang w:val="fr-CA"/>
              </w:rPr>
              <w:t>12.8 ± 0.6</w:t>
            </w:r>
          </w:p>
        </w:tc>
      </w:tr>
      <w:tr w:rsidR="008E1EB9" w:rsidRPr="0071513C" w:rsidTr="00803ED8">
        <w:trPr>
          <w:trHeight w:val="283"/>
          <w:jc w:val="center"/>
        </w:trPr>
        <w:tc>
          <w:tcPr>
            <w:tcW w:w="2500" w:type="pct"/>
            <w:vAlign w:val="center"/>
          </w:tcPr>
          <w:p w:rsidR="008E1EB9" w:rsidRPr="0071513C" w:rsidRDefault="008E1EB9" w:rsidP="00A35A00">
            <w:pPr>
              <w:jc w:val="center"/>
              <w:rPr>
                <w:lang w:val="fr-CA"/>
              </w:rPr>
            </w:pPr>
            <w:r w:rsidRPr="0071513C">
              <w:rPr>
                <w:lang w:val="fr-CA"/>
              </w:rPr>
              <w:t>2.0</w:t>
            </w:r>
          </w:p>
        </w:tc>
        <w:tc>
          <w:tcPr>
            <w:tcW w:w="2500" w:type="pct"/>
            <w:vAlign w:val="center"/>
          </w:tcPr>
          <w:p w:rsidR="008E1EB9" w:rsidRPr="0071513C" w:rsidRDefault="008E1EB9" w:rsidP="00A35A00">
            <w:pPr>
              <w:jc w:val="center"/>
              <w:rPr>
                <w:lang w:val="fr-CA"/>
              </w:rPr>
            </w:pPr>
            <w:r w:rsidRPr="0071513C">
              <w:rPr>
                <w:lang w:val="fr-CA"/>
              </w:rPr>
              <w:t>17.0 ± 0.9</w:t>
            </w:r>
          </w:p>
        </w:tc>
      </w:tr>
      <w:tr w:rsidR="008E1EB9" w:rsidRPr="0071513C" w:rsidTr="00803ED8">
        <w:trPr>
          <w:trHeight w:val="283"/>
          <w:jc w:val="center"/>
        </w:trPr>
        <w:tc>
          <w:tcPr>
            <w:tcW w:w="2500" w:type="pct"/>
            <w:vAlign w:val="center"/>
          </w:tcPr>
          <w:p w:rsidR="008E1EB9" w:rsidRPr="0071513C" w:rsidRDefault="008E1EB9" w:rsidP="00A35A00">
            <w:pPr>
              <w:jc w:val="center"/>
              <w:rPr>
                <w:lang w:val="fr-CA"/>
              </w:rPr>
            </w:pPr>
            <w:r w:rsidRPr="0071513C">
              <w:rPr>
                <w:lang w:val="fr-CA"/>
              </w:rPr>
              <w:t>3.0</w:t>
            </w:r>
          </w:p>
        </w:tc>
        <w:tc>
          <w:tcPr>
            <w:tcW w:w="2500" w:type="pct"/>
            <w:vAlign w:val="center"/>
          </w:tcPr>
          <w:p w:rsidR="008E1EB9" w:rsidRPr="0071513C" w:rsidRDefault="008E1EB9" w:rsidP="00A35A00">
            <w:pPr>
              <w:jc w:val="center"/>
              <w:rPr>
                <w:lang w:val="fr-CA"/>
              </w:rPr>
            </w:pPr>
            <w:r w:rsidRPr="0071513C">
              <w:rPr>
                <w:lang w:val="fr-CA"/>
              </w:rPr>
              <w:t>17.7 ± 0.9</w:t>
            </w:r>
          </w:p>
        </w:tc>
      </w:tr>
      <w:tr w:rsidR="008E1EB9" w:rsidRPr="0071513C" w:rsidTr="00803ED8">
        <w:trPr>
          <w:trHeight w:val="283"/>
          <w:jc w:val="center"/>
        </w:trPr>
        <w:tc>
          <w:tcPr>
            <w:tcW w:w="2500" w:type="pct"/>
            <w:vAlign w:val="center"/>
          </w:tcPr>
          <w:p w:rsidR="008E1EB9" w:rsidRPr="0071513C" w:rsidRDefault="008E1EB9" w:rsidP="00A35A00">
            <w:pPr>
              <w:jc w:val="center"/>
              <w:rPr>
                <w:lang w:val="fr-CA"/>
              </w:rPr>
            </w:pPr>
            <w:r w:rsidRPr="0071513C">
              <w:rPr>
                <w:lang w:val="fr-CA"/>
              </w:rPr>
              <w:t>4.0</w:t>
            </w:r>
          </w:p>
        </w:tc>
        <w:tc>
          <w:tcPr>
            <w:tcW w:w="2500" w:type="pct"/>
            <w:vAlign w:val="center"/>
          </w:tcPr>
          <w:p w:rsidR="008E1EB9" w:rsidRPr="0071513C" w:rsidRDefault="008E1EB9" w:rsidP="00A35A00">
            <w:pPr>
              <w:jc w:val="center"/>
              <w:rPr>
                <w:lang w:val="fr-CA"/>
              </w:rPr>
            </w:pPr>
            <w:r w:rsidRPr="0071513C">
              <w:rPr>
                <w:lang w:val="fr-CA"/>
              </w:rPr>
              <w:t>20 ± 1</w:t>
            </w:r>
          </w:p>
        </w:tc>
      </w:tr>
      <w:tr w:rsidR="008E1EB9" w:rsidRPr="0071513C" w:rsidTr="00803ED8">
        <w:trPr>
          <w:trHeight w:val="283"/>
          <w:jc w:val="center"/>
        </w:trPr>
        <w:tc>
          <w:tcPr>
            <w:tcW w:w="2500" w:type="pct"/>
            <w:vAlign w:val="center"/>
          </w:tcPr>
          <w:p w:rsidR="008E1EB9" w:rsidRPr="0071513C" w:rsidRDefault="008E1EB9" w:rsidP="00A35A00">
            <w:pPr>
              <w:jc w:val="center"/>
              <w:rPr>
                <w:lang w:val="fr-CA"/>
              </w:rPr>
            </w:pPr>
            <w:r w:rsidRPr="0071513C">
              <w:rPr>
                <w:lang w:val="fr-CA"/>
              </w:rPr>
              <w:t>5.0</w:t>
            </w:r>
          </w:p>
        </w:tc>
        <w:tc>
          <w:tcPr>
            <w:tcW w:w="2500" w:type="pct"/>
            <w:vAlign w:val="center"/>
          </w:tcPr>
          <w:p w:rsidR="008E1EB9" w:rsidRPr="0071513C" w:rsidRDefault="008E1EB9" w:rsidP="00A35A00">
            <w:pPr>
              <w:jc w:val="center"/>
              <w:rPr>
                <w:lang w:val="fr-CA"/>
              </w:rPr>
            </w:pPr>
            <w:r w:rsidRPr="0071513C">
              <w:rPr>
                <w:lang w:val="fr-CA"/>
              </w:rPr>
              <w:t>24 ± 1</w:t>
            </w:r>
          </w:p>
        </w:tc>
      </w:tr>
      <w:tr w:rsidR="008E1EB9" w:rsidRPr="0071513C" w:rsidTr="00803ED8">
        <w:trPr>
          <w:trHeight w:val="283"/>
          <w:jc w:val="center"/>
        </w:trPr>
        <w:tc>
          <w:tcPr>
            <w:tcW w:w="2500" w:type="pct"/>
            <w:vAlign w:val="center"/>
          </w:tcPr>
          <w:p w:rsidR="008E1EB9" w:rsidRPr="0071513C" w:rsidRDefault="008E1EB9" w:rsidP="00A35A00">
            <w:pPr>
              <w:jc w:val="center"/>
              <w:rPr>
                <w:lang w:val="fr-CA"/>
              </w:rPr>
            </w:pPr>
            <w:r w:rsidRPr="0071513C">
              <w:rPr>
                <w:lang w:val="fr-CA"/>
              </w:rPr>
              <w:t>6.0</w:t>
            </w:r>
          </w:p>
        </w:tc>
        <w:tc>
          <w:tcPr>
            <w:tcW w:w="2500" w:type="pct"/>
            <w:vAlign w:val="center"/>
          </w:tcPr>
          <w:p w:rsidR="008E1EB9" w:rsidRPr="0071513C" w:rsidRDefault="008E1EB9" w:rsidP="00A35A00">
            <w:pPr>
              <w:jc w:val="center"/>
              <w:rPr>
                <w:lang w:val="fr-CA"/>
              </w:rPr>
            </w:pPr>
            <w:r w:rsidRPr="0071513C">
              <w:rPr>
                <w:lang w:val="fr-CA"/>
              </w:rPr>
              <w:t>25 ± 1</w:t>
            </w:r>
          </w:p>
        </w:tc>
      </w:tr>
      <w:tr w:rsidR="008E1EB9" w:rsidRPr="0071513C" w:rsidTr="00803ED8">
        <w:trPr>
          <w:trHeight w:val="283"/>
          <w:jc w:val="center"/>
        </w:trPr>
        <w:tc>
          <w:tcPr>
            <w:tcW w:w="2500" w:type="pct"/>
            <w:vAlign w:val="center"/>
          </w:tcPr>
          <w:p w:rsidR="008E1EB9" w:rsidRPr="0071513C" w:rsidRDefault="008E1EB9" w:rsidP="00A35A00">
            <w:pPr>
              <w:jc w:val="center"/>
              <w:rPr>
                <w:lang w:val="fr-CA"/>
              </w:rPr>
            </w:pPr>
            <w:r w:rsidRPr="0071513C">
              <w:rPr>
                <w:lang w:val="fr-CA"/>
              </w:rPr>
              <w:t>7.0</w:t>
            </w:r>
          </w:p>
        </w:tc>
        <w:tc>
          <w:tcPr>
            <w:tcW w:w="2500" w:type="pct"/>
            <w:vAlign w:val="center"/>
          </w:tcPr>
          <w:p w:rsidR="008E1EB9" w:rsidRPr="0071513C" w:rsidRDefault="008E1EB9" w:rsidP="00A35A00">
            <w:pPr>
              <w:jc w:val="center"/>
              <w:rPr>
                <w:lang w:val="fr-CA"/>
              </w:rPr>
            </w:pPr>
            <w:r w:rsidRPr="0071513C">
              <w:rPr>
                <w:lang w:val="fr-CA"/>
              </w:rPr>
              <w:t>26 ± 1</w:t>
            </w:r>
          </w:p>
        </w:tc>
      </w:tr>
      <w:tr w:rsidR="008E1EB9" w:rsidRPr="0071513C" w:rsidTr="00803ED8">
        <w:trPr>
          <w:trHeight w:val="283"/>
          <w:jc w:val="center"/>
        </w:trPr>
        <w:tc>
          <w:tcPr>
            <w:tcW w:w="2500" w:type="pct"/>
            <w:vAlign w:val="center"/>
          </w:tcPr>
          <w:p w:rsidR="008E1EB9" w:rsidRPr="0071513C" w:rsidRDefault="008E1EB9" w:rsidP="00A35A00">
            <w:pPr>
              <w:jc w:val="center"/>
              <w:rPr>
                <w:lang w:val="fr-CA"/>
              </w:rPr>
            </w:pPr>
            <w:r w:rsidRPr="0071513C">
              <w:rPr>
                <w:lang w:val="fr-CA"/>
              </w:rPr>
              <w:t>8.0</w:t>
            </w:r>
          </w:p>
        </w:tc>
        <w:tc>
          <w:tcPr>
            <w:tcW w:w="2500" w:type="pct"/>
            <w:vAlign w:val="center"/>
          </w:tcPr>
          <w:p w:rsidR="008E1EB9" w:rsidRPr="0071513C" w:rsidRDefault="008E1EB9" w:rsidP="00A35A00">
            <w:pPr>
              <w:jc w:val="center"/>
              <w:rPr>
                <w:lang w:val="fr-CA"/>
              </w:rPr>
            </w:pPr>
            <w:r w:rsidRPr="0071513C">
              <w:rPr>
                <w:lang w:val="fr-CA"/>
              </w:rPr>
              <w:t>30 ± 1</w:t>
            </w:r>
          </w:p>
        </w:tc>
      </w:tr>
      <w:tr w:rsidR="008E1EB9" w:rsidRPr="0071513C" w:rsidTr="00803ED8">
        <w:trPr>
          <w:trHeight w:val="283"/>
          <w:jc w:val="center"/>
        </w:trPr>
        <w:tc>
          <w:tcPr>
            <w:tcW w:w="2500" w:type="pct"/>
            <w:tcBorders>
              <w:bottom w:val="single" w:sz="6" w:space="0" w:color="auto"/>
            </w:tcBorders>
            <w:vAlign w:val="center"/>
          </w:tcPr>
          <w:p w:rsidR="008E1EB9" w:rsidRPr="0071513C" w:rsidRDefault="008E1EB9" w:rsidP="00A35A00">
            <w:pPr>
              <w:jc w:val="center"/>
              <w:rPr>
                <w:lang w:val="fr-CA"/>
              </w:rPr>
            </w:pPr>
            <w:r w:rsidRPr="0071513C">
              <w:rPr>
                <w:lang w:val="fr-CA"/>
              </w:rPr>
              <w:t>9.0</w:t>
            </w:r>
          </w:p>
        </w:tc>
        <w:tc>
          <w:tcPr>
            <w:tcW w:w="2500" w:type="pct"/>
            <w:tcBorders>
              <w:bottom w:val="single" w:sz="6" w:space="0" w:color="auto"/>
            </w:tcBorders>
            <w:vAlign w:val="center"/>
          </w:tcPr>
          <w:p w:rsidR="008E1EB9" w:rsidRPr="0071513C" w:rsidRDefault="008E1EB9" w:rsidP="00A35A00">
            <w:pPr>
              <w:jc w:val="center"/>
              <w:rPr>
                <w:lang w:val="fr-CA"/>
              </w:rPr>
            </w:pPr>
            <w:r w:rsidRPr="0071513C">
              <w:rPr>
                <w:lang w:val="fr-CA"/>
              </w:rPr>
              <w:t>33 ± 2</w:t>
            </w:r>
          </w:p>
        </w:tc>
      </w:tr>
      <w:tr w:rsidR="008E1EB9" w:rsidRPr="0071513C" w:rsidTr="00803ED8">
        <w:trPr>
          <w:trHeight w:val="283"/>
          <w:jc w:val="center"/>
        </w:trPr>
        <w:tc>
          <w:tcPr>
            <w:tcW w:w="2500" w:type="pct"/>
            <w:tcBorders>
              <w:top w:val="single" w:sz="6" w:space="0" w:color="auto"/>
              <w:bottom w:val="single" w:sz="4" w:space="0" w:color="auto"/>
            </w:tcBorders>
            <w:vAlign w:val="center"/>
          </w:tcPr>
          <w:p w:rsidR="008E1EB9" w:rsidRPr="0071513C" w:rsidRDefault="008E1EB9" w:rsidP="00A35A00">
            <w:pPr>
              <w:jc w:val="center"/>
              <w:rPr>
                <w:lang w:val="fr-CA"/>
              </w:rPr>
            </w:pPr>
            <w:r w:rsidRPr="0071513C">
              <w:rPr>
                <w:lang w:val="fr-CA"/>
              </w:rPr>
              <w:t>10.0</w:t>
            </w:r>
          </w:p>
        </w:tc>
        <w:tc>
          <w:tcPr>
            <w:tcW w:w="2500" w:type="pct"/>
            <w:tcBorders>
              <w:top w:val="single" w:sz="6" w:space="0" w:color="auto"/>
              <w:bottom w:val="single" w:sz="4" w:space="0" w:color="auto"/>
            </w:tcBorders>
            <w:vAlign w:val="center"/>
          </w:tcPr>
          <w:p w:rsidR="008E1EB9" w:rsidRPr="0071513C" w:rsidRDefault="008E1EB9" w:rsidP="00A35A00">
            <w:pPr>
              <w:jc w:val="center"/>
              <w:rPr>
                <w:lang w:val="fr-CA"/>
              </w:rPr>
            </w:pPr>
            <w:r w:rsidRPr="0071513C">
              <w:rPr>
                <w:lang w:val="fr-CA"/>
              </w:rPr>
              <w:t>35 ± 2</w:t>
            </w:r>
          </w:p>
        </w:tc>
      </w:tr>
    </w:tbl>
    <w:p w:rsidR="008E1EB9" w:rsidRPr="0071513C" w:rsidRDefault="008E1EB9" w:rsidP="008E1EB9">
      <w:pPr>
        <w:rPr>
          <w:lang w:val="fr-CA"/>
        </w:rPr>
      </w:pPr>
    </w:p>
    <w:p w:rsidR="008E1EB9" w:rsidRPr="0071513C" w:rsidRDefault="000244BE" w:rsidP="008E1EB9">
      <w:pPr>
        <w:rPr>
          <w:lang w:val="fr-CA"/>
        </w:rPr>
      </w:pPr>
      <w:r w:rsidRPr="0071513C">
        <w:rPr>
          <w:lang w:val="fr-CA"/>
        </w:rPr>
        <w:t xml:space="preserve">Commentaires à propos du </w:t>
      </w:r>
      <w:r w:rsidRPr="0071513C">
        <w:rPr>
          <w:rStyle w:val="CrossRefChar"/>
          <w:lang w:val="fr-CA"/>
        </w:rPr>
        <w:fldChar w:fldCharType="begin"/>
      </w:r>
      <w:r w:rsidRPr="0071513C">
        <w:rPr>
          <w:rStyle w:val="CrossRefChar"/>
          <w:lang w:val="fr-CA"/>
        </w:rPr>
        <w:instrText xml:space="preserve"> REF _Ref358970402 \h  \* MERGEFORMAT </w:instrText>
      </w:r>
      <w:r w:rsidRPr="0071513C">
        <w:rPr>
          <w:rStyle w:val="CrossRefChar"/>
          <w:lang w:val="fr-CA"/>
        </w:rPr>
      </w:r>
      <w:r w:rsidRPr="0071513C">
        <w:rPr>
          <w:rStyle w:val="CrossRefChar"/>
          <w:lang w:val="fr-CA"/>
        </w:rPr>
        <w:fldChar w:fldCharType="separate"/>
      </w:r>
      <w:r w:rsidR="00ED5483" w:rsidRPr="00ED5483">
        <w:rPr>
          <w:rStyle w:val="CrossRefChar"/>
          <w:lang w:val="fr-CA"/>
        </w:rPr>
        <w:t>Tableau 1</w:t>
      </w:r>
      <w:r w:rsidRPr="0071513C">
        <w:rPr>
          <w:rStyle w:val="CrossRefChar"/>
          <w:lang w:val="fr-CA"/>
        </w:rPr>
        <w:fldChar w:fldCharType="end"/>
      </w:r>
      <w:r w:rsidR="008E1EB9" w:rsidRPr="0071513C">
        <w:rPr>
          <w:lang w:val="fr-CA"/>
        </w:rPr>
        <w:t>:</w:t>
      </w:r>
    </w:p>
    <w:p w:rsidR="008E1EB9" w:rsidRPr="0071513C" w:rsidRDefault="008E1EB9" w:rsidP="008E1EB9">
      <w:pPr>
        <w:rPr>
          <w:lang w:val="fr-CA"/>
        </w:rPr>
      </w:pPr>
    </w:p>
    <w:p w:rsidR="00596045" w:rsidRPr="0071513C" w:rsidRDefault="0097051E" w:rsidP="0097051E">
      <w:pPr>
        <w:pStyle w:val="ListParagraph"/>
        <w:numPr>
          <w:ilvl w:val="0"/>
          <w:numId w:val="22"/>
        </w:numPr>
        <w:jc w:val="left"/>
        <w:rPr>
          <w:lang w:val="fr-CA"/>
        </w:rPr>
      </w:pPr>
      <w:r w:rsidRPr="0071513C">
        <w:rPr>
          <w:lang w:val="fr-CA"/>
        </w:rPr>
        <w:t>Chaque tableau doit être numéroté dans un ordre logique et posséder un titre adéquat</w:t>
      </w:r>
      <w:r w:rsidR="00DD3E2C" w:rsidRPr="0071513C">
        <w:rPr>
          <w:lang w:val="fr-CA"/>
        </w:rPr>
        <w:t xml:space="preserve">. </w:t>
      </w:r>
      <w:r w:rsidR="00D50054" w:rsidRPr="0071513C">
        <w:rPr>
          <w:lang w:val="fr-CA"/>
        </w:rPr>
        <w:t xml:space="preserve">  </w:t>
      </w:r>
      <w:r w:rsidR="00596045" w:rsidRPr="0071513C">
        <w:rPr>
          <w:lang w:val="fr-CA"/>
        </w:rPr>
        <w:br/>
      </w:r>
    </w:p>
    <w:p w:rsidR="00596045" w:rsidRPr="0071513C" w:rsidRDefault="0097051E" w:rsidP="0097051E">
      <w:pPr>
        <w:pStyle w:val="ListParagraph"/>
        <w:numPr>
          <w:ilvl w:val="0"/>
          <w:numId w:val="22"/>
        </w:numPr>
        <w:jc w:val="left"/>
        <w:rPr>
          <w:lang w:val="fr-CA"/>
        </w:rPr>
      </w:pPr>
      <w:r w:rsidRPr="0071513C">
        <w:rPr>
          <w:lang w:val="fr-CA"/>
        </w:rPr>
        <w:t>Chaque colonne doit avoir son titre respectif figurant dans l’entête de la colonne</w:t>
      </w:r>
      <w:r w:rsidR="00596045" w:rsidRPr="0071513C">
        <w:rPr>
          <w:lang w:val="fr-CA"/>
        </w:rPr>
        <w:t>:</w:t>
      </w:r>
      <w:r w:rsidR="00596045" w:rsidRPr="0071513C">
        <w:rPr>
          <w:lang w:val="fr-CA"/>
        </w:rPr>
        <w:br/>
      </w:r>
    </w:p>
    <w:p w:rsidR="00596045" w:rsidRPr="0071513C" w:rsidRDefault="00057C32" w:rsidP="00596045">
      <w:pPr>
        <w:tabs>
          <w:tab w:val="left" w:pos="2127"/>
        </w:tabs>
        <w:ind w:left="2127" w:hanging="1047"/>
        <w:jc w:val="left"/>
        <w:rPr>
          <w:lang w:val="fr-CA"/>
        </w:rPr>
      </w:pPr>
      <w:r w:rsidRPr="0071513C">
        <w:rPr>
          <w:u w:val="single"/>
          <w:lang w:val="fr-CA"/>
        </w:rPr>
        <w:t>1</w:t>
      </w:r>
      <w:r w:rsidRPr="0071513C">
        <w:rPr>
          <w:u w:val="single"/>
          <w:vertAlign w:val="superscript"/>
          <w:lang w:val="fr-CA"/>
        </w:rPr>
        <w:t>ère</w:t>
      </w:r>
      <w:r w:rsidRPr="0071513C">
        <w:rPr>
          <w:u w:val="single"/>
          <w:lang w:val="fr-CA"/>
        </w:rPr>
        <w:t xml:space="preserve"> ligne</w:t>
      </w:r>
      <w:r w:rsidR="00596045" w:rsidRPr="0071513C">
        <w:rPr>
          <w:lang w:val="fr-CA"/>
        </w:rPr>
        <w:t xml:space="preserve">: </w:t>
      </w:r>
      <w:r w:rsidR="00596045" w:rsidRPr="0071513C">
        <w:rPr>
          <w:lang w:val="fr-CA"/>
        </w:rPr>
        <w:tab/>
      </w:r>
      <w:r w:rsidRPr="0071513C">
        <w:rPr>
          <w:lang w:val="fr-CA"/>
        </w:rPr>
        <w:t>Chaque colonne doit avoir son titre respectif figurant dans l’entête de la colonne</w:t>
      </w:r>
      <w:r w:rsidR="00596045" w:rsidRPr="0071513C">
        <w:rPr>
          <w:lang w:val="fr-CA"/>
        </w:rPr>
        <w:t xml:space="preserve">. </w:t>
      </w:r>
      <w:r w:rsidR="00596045" w:rsidRPr="0071513C">
        <w:rPr>
          <w:lang w:val="fr-CA"/>
        </w:rPr>
        <w:tab/>
      </w:r>
    </w:p>
    <w:p w:rsidR="00596045" w:rsidRPr="0071513C" w:rsidRDefault="00596045" w:rsidP="00596045">
      <w:pPr>
        <w:tabs>
          <w:tab w:val="left" w:pos="2127"/>
        </w:tabs>
        <w:ind w:left="2127" w:hanging="1047"/>
        <w:jc w:val="left"/>
        <w:rPr>
          <w:lang w:val="fr-CA"/>
        </w:rPr>
      </w:pPr>
    </w:p>
    <w:p w:rsidR="00596045" w:rsidRPr="0071513C" w:rsidRDefault="00057C32" w:rsidP="00D7087E">
      <w:pPr>
        <w:tabs>
          <w:tab w:val="left" w:pos="2127"/>
        </w:tabs>
        <w:ind w:left="2127" w:hanging="1047"/>
        <w:jc w:val="left"/>
        <w:rPr>
          <w:lang w:val="fr-CA"/>
        </w:rPr>
      </w:pPr>
      <w:r w:rsidRPr="0071513C">
        <w:rPr>
          <w:u w:val="single"/>
          <w:lang w:val="fr-CA"/>
        </w:rPr>
        <w:t>2</w:t>
      </w:r>
      <w:r w:rsidRPr="0071513C">
        <w:rPr>
          <w:u w:val="single"/>
          <w:vertAlign w:val="superscript"/>
          <w:lang w:val="fr-CA"/>
        </w:rPr>
        <w:t>ième</w:t>
      </w:r>
      <w:r w:rsidRPr="0071513C">
        <w:rPr>
          <w:u w:val="single"/>
          <w:lang w:val="fr-CA"/>
        </w:rPr>
        <w:t xml:space="preserve"> ligne</w:t>
      </w:r>
      <w:r w:rsidR="00596045" w:rsidRPr="0071513C">
        <w:rPr>
          <w:lang w:val="fr-CA"/>
        </w:rPr>
        <w:t>:</w:t>
      </w:r>
      <w:r w:rsidR="00554189" w:rsidRPr="0071513C">
        <w:rPr>
          <w:lang w:val="fr-CA"/>
        </w:rPr>
        <w:t xml:space="preserve"> </w:t>
      </w:r>
      <w:r w:rsidRPr="0071513C">
        <w:rPr>
          <w:lang w:val="fr-CA"/>
        </w:rPr>
        <w:tab/>
        <w:t>Les unités doivent toujours être indiquées dans l’entête de la colonne et non pas dans le contenu de votre tableau</w:t>
      </w:r>
      <w:r w:rsidR="00554189" w:rsidRPr="0071513C">
        <w:rPr>
          <w:lang w:val="fr-CA"/>
        </w:rPr>
        <w:t xml:space="preserve">. </w:t>
      </w:r>
      <w:r w:rsidR="00AB543B" w:rsidRPr="0071513C">
        <w:rPr>
          <w:lang w:val="fr-CA"/>
        </w:rPr>
        <w:br/>
      </w:r>
      <w:r w:rsidR="00AB543B" w:rsidRPr="0071513C">
        <w:rPr>
          <w:lang w:val="fr-CA"/>
        </w:rPr>
        <w:br/>
      </w:r>
      <w:r w:rsidR="00D7087E" w:rsidRPr="0071513C">
        <w:rPr>
          <w:lang w:val="fr-CA"/>
        </w:rPr>
        <w:t xml:space="preserve">Lorsque l’on compare les données expérimentales aux données acceptées scientifiquement, on doit s’assurer d’avoir un facteur multiplicateur commun entre ces deux échelles de données afin d’assurer une comparaison appropriée des diverses unités. Si on a besoin d’afficher un tel facteur pour rendre possible la comparaison, il doit être indiqué dans l’entête de la seconde colonne. </w:t>
      </w:r>
    </w:p>
    <w:p w:rsidR="00596045" w:rsidRPr="0071513C" w:rsidRDefault="00596045" w:rsidP="00596045">
      <w:pPr>
        <w:tabs>
          <w:tab w:val="left" w:pos="2127"/>
        </w:tabs>
        <w:ind w:left="2127" w:hanging="1047"/>
        <w:jc w:val="left"/>
        <w:rPr>
          <w:lang w:val="fr-CA"/>
        </w:rPr>
      </w:pPr>
    </w:p>
    <w:p w:rsidR="00596045" w:rsidRPr="0071513C" w:rsidRDefault="00057C32" w:rsidP="00057C32">
      <w:pPr>
        <w:tabs>
          <w:tab w:val="left" w:pos="2127"/>
        </w:tabs>
        <w:ind w:left="2127" w:hanging="1047"/>
        <w:jc w:val="left"/>
        <w:rPr>
          <w:lang w:val="fr-CA"/>
        </w:rPr>
      </w:pPr>
      <w:r w:rsidRPr="0071513C">
        <w:rPr>
          <w:u w:val="single"/>
          <w:lang w:val="fr-CA"/>
        </w:rPr>
        <w:t>3</w:t>
      </w:r>
      <w:r w:rsidRPr="0071513C">
        <w:rPr>
          <w:u w:val="single"/>
          <w:vertAlign w:val="superscript"/>
          <w:lang w:val="fr-CA"/>
        </w:rPr>
        <w:t>ième</w:t>
      </w:r>
      <w:r w:rsidRPr="0071513C">
        <w:rPr>
          <w:u w:val="single"/>
          <w:lang w:val="fr-CA"/>
        </w:rPr>
        <w:t xml:space="preserve"> ligne</w:t>
      </w:r>
      <w:r w:rsidR="00596045" w:rsidRPr="0071513C">
        <w:rPr>
          <w:lang w:val="fr-CA"/>
        </w:rPr>
        <w:t>:</w:t>
      </w:r>
      <w:r w:rsidR="00554189" w:rsidRPr="0071513C">
        <w:rPr>
          <w:lang w:val="fr-CA"/>
        </w:rPr>
        <w:tab/>
      </w:r>
      <w:r w:rsidRPr="0071513C">
        <w:rPr>
          <w:lang w:val="fr-CA"/>
        </w:rPr>
        <w:t>Si les incertitudes sont constantes pour toute la colonne, elles doivent figurer dans l’entête de la colonne.</w:t>
      </w:r>
      <w:r w:rsidR="00AB543B" w:rsidRPr="0071513C">
        <w:rPr>
          <w:lang w:val="fr-CA"/>
        </w:rPr>
        <w:br/>
      </w:r>
      <w:r w:rsidR="00AB543B" w:rsidRPr="0071513C">
        <w:rPr>
          <w:lang w:val="fr-CA"/>
        </w:rPr>
        <w:br/>
      </w:r>
      <w:r w:rsidRPr="0071513C">
        <w:rPr>
          <w:lang w:val="fr-CA"/>
        </w:rPr>
        <w:t>Si l’incertitude absolue varie, elle doit être inscrite à côté de la mesure tel que présenté dans la seconde colonne</w:t>
      </w:r>
      <w:r w:rsidR="00554189" w:rsidRPr="0071513C">
        <w:rPr>
          <w:lang w:val="fr-CA"/>
        </w:rPr>
        <w:t xml:space="preserve">. </w:t>
      </w:r>
      <w:r w:rsidRPr="0071513C">
        <w:rPr>
          <w:lang w:val="fr-CA"/>
        </w:rPr>
        <w:t>N</w:t>
      </w:r>
      <w:r w:rsidR="00D7087E" w:rsidRPr="0071513C">
        <w:rPr>
          <w:lang w:val="fr-CA"/>
        </w:rPr>
        <w:t>otez que, puisque l’incertitude relative pour la seconde colonne est constant (± 5%), elle est également présenté dans l’entête.</w:t>
      </w:r>
    </w:p>
    <w:p w:rsidR="00B422E3" w:rsidRPr="0071513C" w:rsidRDefault="00B422E3">
      <w:pPr>
        <w:autoSpaceDE/>
        <w:autoSpaceDN/>
        <w:adjustRightInd/>
        <w:spacing w:after="200" w:line="276" w:lineRule="auto"/>
        <w:jc w:val="left"/>
        <w:textAlignment w:val="auto"/>
        <w:rPr>
          <w:lang w:val="fr-CA"/>
        </w:rPr>
      </w:pPr>
      <w:r w:rsidRPr="0071513C">
        <w:rPr>
          <w:lang w:val="fr-CA"/>
        </w:rPr>
        <w:br w:type="page"/>
      </w:r>
    </w:p>
    <w:p w:rsidR="00D7087E" w:rsidRPr="0071513C" w:rsidRDefault="00D7087E" w:rsidP="00057C32">
      <w:pPr>
        <w:tabs>
          <w:tab w:val="left" w:pos="2127"/>
        </w:tabs>
        <w:ind w:left="2127" w:hanging="1047"/>
        <w:jc w:val="left"/>
        <w:rPr>
          <w:lang w:val="fr-CA"/>
        </w:rPr>
      </w:pPr>
    </w:p>
    <w:p w:rsidR="00592093" w:rsidRPr="0071513C" w:rsidRDefault="0097051E" w:rsidP="002E7796">
      <w:pPr>
        <w:pStyle w:val="ListParagraph"/>
        <w:numPr>
          <w:ilvl w:val="0"/>
          <w:numId w:val="22"/>
        </w:numPr>
        <w:jc w:val="left"/>
        <w:rPr>
          <w:lang w:val="fr-CA"/>
        </w:rPr>
      </w:pPr>
      <w:r w:rsidRPr="0071513C">
        <w:rPr>
          <w:lang w:val="fr-CA"/>
        </w:rPr>
        <w:t>Le nombre de chiffres significatifs dans une mesure est limité par la précision de l’instrument. Les incertitudes ne peuvent seulement qu’avoir UN seul chiffre significatif. Une mesure ne peut seulement qu’avoir le même nombre de décimales que l’incertitude associée à cette mesure. Puisque les données d’une mesure et de son incertitude sont associées, leurs unités de précision doivent correspondre. Par exemple, (25.052 ± 0.25</w:t>
      </w:r>
      <w:proofErr w:type="gramStart"/>
      <w:r w:rsidRPr="0071513C">
        <w:rPr>
          <w:lang w:val="fr-CA"/>
        </w:rPr>
        <w:t>)m</w:t>
      </w:r>
      <w:proofErr w:type="gramEnd"/>
      <w:r w:rsidRPr="0071513C">
        <w:rPr>
          <w:lang w:val="fr-CA"/>
        </w:rPr>
        <w:t xml:space="preserve"> et (25.05 ± 0.25)m sont deux formulations incorrectes. La bonne manière d’identifier cette mesure est (25.1 ± 0.3</w:t>
      </w:r>
      <w:proofErr w:type="gramStart"/>
      <w:r w:rsidRPr="0071513C">
        <w:rPr>
          <w:lang w:val="fr-CA"/>
        </w:rPr>
        <w:t>)m</w:t>
      </w:r>
      <w:proofErr w:type="gramEnd"/>
      <w:r w:rsidRPr="0071513C">
        <w:rPr>
          <w:lang w:val="fr-CA"/>
        </w:rPr>
        <w:t>.</w:t>
      </w:r>
      <w:r w:rsidR="00B551F4" w:rsidRPr="0071513C">
        <w:rPr>
          <w:lang w:val="fr-CA"/>
        </w:rPr>
        <w:br/>
      </w:r>
    </w:p>
    <w:p w:rsidR="00B551F4" w:rsidRPr="0071513C" w:rsidRDefault="002E7796" w:rsidP="002E7796">
      <w:pPr>
        <w:pStyle w:val="ListParagraph"/>
        <w:numPr>
          <w:ilvl w:val="0"/>
          <w:numId w:val="22"/>
        </w:numPr>
        <w:jc w:val="left"/>
        <w:rPr>
          <w:lang w:val="fr-CA"/>
        </w:rPr>
      </w:pPr>
      <w:r w:rsidRPr="0071513C">
        <w:rPr>
          <w:lang w:val="fr-CA"/>
        </w:rPr>
        <w:t xml:space="preserve">Le tableau suivant présente comment les résultats de la seconde colonne du </w:t>
      </w:r>
      <w:r w:rsidRPr="0071513C">
        <w:rPr>
          <w:rStyle w:val="CrossRefChar"/>
          <w:lang w:val="fr-CA"/>
        </w:rPr>
        <w:fldChar w:fldCharType="begin"/>
      </w:r>
      <w:r w:rsidRPr="0071513C">
        <w:rPr>
          <w:rStyle w:val="CrossRefChar"/>
          <w:lang w:val="fr-CA"/>
        </w:rPr>
        <w:instrText xml:space="preserve"> REF _Ref358970402 \h  \* MERGEFORMAT </w:instrText>
      </w:r>
      <w:r w:rsidRPr="0071513C">
        <w:rPr>
          <w:rStyle w:val="CrossRefChar"/>
          <w:lang w:val="fr-CA"/>
        </w:rPr>
      </w:r>
      <w:r w:rsidRPr="0071513C">
        <w:rPr>
          <w:rStyle w:val="CrossRefChar"/>
          <w:lang w:val="fr-CA"/>
        </w:rPr>
        <w:fldChar w:fldCharType="separate"/>
      </w:r>
      <w:r w:rsidR="00ED5483" w:rsidRPr="00ED5483">
        <w:rPr>
          <w:rStyle w:val="CrossRefChar"/>
          <w:lang w:val="fr-CA"/>
        </w:rPr>
        <w:t>Tableau 1</w:t>
      </w:r>
      <w:r w:rsidRPr="0071513C">
        <w:rPr>
          <w:rStyle w:val="CrossRefChar"/>
          <w:lang w:val="fr-CA"/>
        </w:rPr>
        <w:fldChar w:fldCharType="end"/>
      </w:r>
      <w:r w:rsidRPr="0071513C">
        <w:rPr>
          <w:lang w:val="fr-CA"/>
        </w:rPr>
        <w:t xml:space="preserve"> ont été calculés à partir des données brutes.</w:t>
      </w:r>
      <w:r w:rsidR="003C3E64" w:rsidRPr="0071513C">
        <w:rPr>
          <w:lang w:val="fr-CA"/>
        </w:rPr>
        <w:t xml:space="preserve"> </w:t>
      </w:r>
      <w:r w:rsidRPr="0071513C">
        <w:rPr>
          <w:lang w:val="fr-CA"/>
        </w:rPr>
        <w:t>L’incertitude finale est ajustée à UN chiffre significatif près et la mesure, quant à elle, est arrondie à la même décimale que l’incertitude (une fois ajustée) à laquelle elle fait référence. Une mesure ne doit jamais être plus précise que son incertitude.</w:t>
      </w:r>
      <w:r w:rsidR="00592093" w:rsidRPr="0071513C">
        <w:rPr>
          <w:lang w:val="fr-CA"/>
        </w:rPr>
        <w:br/>
      </w:r>
    </w:p>
    <w:p w:rsidR="003C3E64" w:rsidRPr="0071513C" w:rsidRDefault="003C3E64" w:rsidP="003C3E64">
      <w:pPr>
        <w:pStyle w:val="Caption"/>
        <w:keepNext/>
        <w:rPr>
          <w:lang w:val="fr-CA"/>
        </w:rPr>
      </w:pPr>
      <w:r w:rsidRPr="0071513C">
        <w:rPr>
          <w:lang w:val="fr-CA"/>
        </w:rPr>
        <w:t>Table</w:t>
      </w:r>
      <w:r w:rsidR="00057C32" w:rsidRPr="0071513C">
        <w:rPr>
          <w:lang w:val="fr-CA"/>
        </w:rPr>
        <w:t>au</w:t>
      </w:r>
      <w:r w:rsidRPr="0071513C">
        <w:rPr>
          <w:lang w:val="fr-CA"/>
        </w:rPr>
        <w:t xml:space="preserve"> </w:t>
      </w:r>
      <w:r w:rsidR="006B50B7" w:rsidRPr="0071513C">
        <w:rPr>
          <w:lang w:val="fr-CA"/>
        </w:rPr>
        <w:fldChar w:fldCharType="begin"/>
      </w:r>
      <w:r w:rsidR="006B50B7" w:rsidRPr="0071513C">
        <w:rPr>
          <w:lang w:val="fr-CA"/>
        </w:rPr>
        <w:instrText xml:space="preserve"> SEQ Table \* ARABIC </w:instrText>
      </w:r>
      <w:r w:rsidR="006B50B7" w:rsidRPr="0071513C">
        <w:rPr>
          <w:lang w:val="fr-CA"/>
        </w:rPr>
        <w:fldChar w:fldCharType="separate"/>
      </w:r>
      <w:r w:rsidR="00ED5483">
        <w:rPr>
          <w:noProof/>
          <w:lang w:val="fr-CA"/>
        </w:rPr>
        <w:t>2</w:t>
      </w:r>
      <w:r w:rsidR="006B50B7" w:rsidRPr="0071513C">
        <w:rPr>
          <w:noProof/>
          <w:lang w:val="fr-CA"/>
        </w:rPr>
        <w:fldChar w:fldCharType="end"/>
      </w:r>
      <w:r w:rsidRPr="0071513C">
        <w:rPr>
          <w:lang w:val="fr-CA"/>
        </w:rPr>
        <w:t xml:space="preserve"> </w:t>
      </w:r>
      <w:r w:rsidR="00057C32" w:rsidRPr="0071513C">
        <w:rPr>
          <w:lang w:val="fr-CA"/>
        </w:rPr>
        <w:t>–</w:t>
      </w:r>
      <w:r w:rsidRPr="0071513C">
        <w:rPr>
          <w:lang w:val="fr-CA"/>
        </w:rPr>
        <w:t xml:space="preserve"> </w:t>
      </w:r>
      <w:r w:rsidR="00057C32" w:rsidRPr="0071513C">
        <w:rPr>
          <w:lang w:val="fr-CA"/>
        </w:rPr>
        <w:t xml:space="preserve">Calcul des résultats présentés à la deuxième colonne du </w:t>
      </w:r>
      <w:r w:rsidR="00057C32" w:rsidRPr="0071513C">
        <w:rPr>
          <w:rStyle w:val="CrossRefChar"/>
          <w:lang w:val="fr-CA"/>
        </w:rPr>
        <w:fldChar w:fldCharType="begin"/>
      </w:r>
      <w:r w:rsidR="00057C32" w:rsidRPr="0071513C">
        <w:rPr>
          <w:rStyle w:val="CrossRefChar"/>
          <w:lang w:val="fr-CA"/>
        </w:rPr>
        <w:instrText xml:space="preserve"> REF _Ref358970402 \h  \* MERGEFORMAT </w:instrText>
      </w:r>
      <w:r w:rsidR="00057C32" w:rsidRPr="0071513C">
        <w:rPr>
          <w:rStyle w:val="CrossRefChar"/>
          <w:lang w:val="fr-CA"/>
        </w:rPr>
      </w:r>
      <w:r w:rsidR="00057C32" w:rsidRPr="0071513C">
        <w:rPr>
          <w:rStyle w:val="CrossRefChar"/>
          <w:lang w:val="fr-CA"/>
        </w:rPr>
        <w:fldChar w:fldCharType="separate"/>
      </w:r>
      <w:r w:rsidR="00ED5483" w:rsidRPr="00ED5483">
        <w:rPr>
          <w:rStyle w:val="CrossRefChar"/>
          <w:lang w:val="fr-CA"/>
        </w:rPr>
        <w:t>Tableau 1</w:t>
      </w:r>
      <w:r w:rsidR="00057C32" w:rsidRPr="0071513C">
        <w:rPr>
          <w:rStyle w:val="CrossRefChar"/>
          <w:lang w:val="fr-CA"/>
        </w:rPr>
        <w:fldChar w:fldCharType="end"/>
      </w:r>
      <w:r w:rsidR="00057C32" w:rsidRPr="0071513C">
        <w:rPr>
          <w:lang w:val="fr-CA"/>
        </w:rPr>
        <w:t xml:space="preserve"> à partir de </w:t>
      </w:r>
      <w:r w:rsidR="00057C32" w:rsidRPr="0071513C">
        <w:rPr>
          <w:lang w:val="fr-CA"/>
        </w:rPr>
        <w:br/>
        <w:t>données brutes avec incertitude relative constante</w:t>
      </w:r>
    </w:p>
    <w:tbl>
      <w:tblPr>
        <w:tblStyle w:val="TableGrid"/>
        <w:tblW w:w="4589" w:type="pct"/>
        <w:jc w:val="center"/>
        <w:tblInd w:w="848" w:type="dxa"/>
        <w:tblBorders>
          <w:insideH w:val="single" w:sz="6" w:space="0" w:color="auto"/>
          <w:insideV w:val="single" w:sz="6" w:space="0" w:color="auto"/>
        </w:tblBorders>
        <w:tblLayout w:type="fixed"/>
        <w:tblLook w:val="01E0" w:firstRow="1" w:lastRow="1" w:firstColumn="1" w:lastColumn="1" w:noHBand="0" w:noVBand="0"/>
      </w:tblPr>
      <w:tblGrid>
        <w:gridCol w:w="1419"/>
        <w:gridCol w:w="1985"/>
        <w:gridCol w:w="1415"/>
        <w:gridCol w:w="1419"/>
        <w:gridCol w:w="2551"/>
      </w:tblGrid>
      <w:tr w:rsidR="00592093" w:rsidRPr="0071513C" w:rsidTr="00CD7C91">
        <w:trPr>
          <w:trHeight w:val="397"/>
          <w:jc w:val="center"/>
        </w:trPr>
        <w:tc>
          <w:tcPr>
            <w:tcW w:w="807" w:type="pct"/>
            <w:tcBorders>
              <w:top w:val="single" w:sz="4" w:space="0" w:color="auto"/>
              <w:bottom w:val="single" w:sz="6" w:space="0" w:color="auto"/>
              <w:right w:val="double" w:sz="4" w:space="0" w:color="auto"/>
            </w:tcBorders>
            <w:vAlign w:val="center"/>
          </w:tcPr>
          <w:p w:rsidR="00592093" w:rsidRPr="0071513C" w:rsidRDefault="002E7796" w:rsidP="002E7796">
            <w:pPr>
              <w:spacing w:before="100" w:beforeAutospacing="1" w:after="100" w:afterAutospacing="1"/>
              <w:jc w:val="center"/>
              <w:rPr>
                <w:b/>
                <w:lang w:val="fr-CA"/>
              </w:rPr>
            </w:pPr>
            <w:r w:rsidRPr="0071513C">
              <w:rPr>
                <w:b/>
                <w:lang w:val="fr-CA"/>
              </w:rPr>
              <w:t>Données brutes</w:t>
            </w:r>
          </w:p>
        </w:tc>
        <w:tc>
          <w:tcPr>
            <w:tcW w:w="1934" w:type="pct"/>
            <w:gridSpan w:val="2"/>
            <w:tcBorders>
              <w:top w:val="single" w:sz="4" w:space="0" w:color="auto"/>
              <w:left w:val="double" w:sz="4" w:space="0" w:color="auto"/>
              <w:bottom w:val="single" w:sz="6" w:space="0" w:color="auto"/>
              <w:right w:val="double" w:sz="4" w:space="0" w:color="auto"/>
            </w:tcBorders>
            <w:vAlign w:val="center"/>
          </w:tcPr>
          <w:p w:rsidR="00592093" w:rsidRPr="0071513C" w:rsidRDefault="00592093" w:rsidP="002E7796">
            <w:pPr>
              <w:spacing w:before="100" w:beforeAutospacing="1" w:after="100" w:afterAutospacing="1"/>
              <w:jc w:val="center"/>
              <w:rPr>
                <w:b/>
                <w:lang w:val="fr-CA"/>
              </w:rPr>
            </w:pPr>
            <w:r w:rsidRPr="0071513C">
              <w:rPr>
                <w:lang w:val="fr-CA"/>
              </w:rPr>
              <w:sym w:font="Symbol" w:char="F0DE"/>
            </w:r>
            <w:r w:rsidRPr="0071513C">
              <w:rPr>
                <w:lang w:val="fr-CA"/>
              </w:rPr>
              <w:t xml:space="preserve">  </w:t>
            </w:r>
            <w:r w:rsidR="002E7796" w:rsidRPr="0071513C">
              <w:rPr>
                <w:b/>
                <w:lang w:val="fr-CA"/>
              </w:rPr>
              <w:t>Étape</w:t>
            </w:r>
            <w:r w:rsidRPr="0071513C">
              <w:rPr>
                <w:b/>
                <w:lang w:val="fr-CA"/>
              </w:rPr>
              <w:t xml:space="preserve"> 1:</w:t>
            </w:r>
          </w:p>
        </w:tc>
        <w:tc>
          <w:tcPr>
            <w:tcW w:w="807" w:type="pct"/>
            <w:tcBorders>
              <w:top w:val="single" w:sz="4" w:space="0" w:color="auto"/>
              <w:left w:val="double" w:sz="4" w:space="0" w:color="auto"/>
              <w:bottom w:val="single" w:sz="6" w:space="0" w:color="auto"/>
              <w:right w:val="double" w:sz="4" w:space="0" w:color="auto"/>
            </w:tcBorders>
            <w:vAlign w:val="center"/>
          </w:tcPr>
          <w:p w:rsidR="00592093" w:rsidRPr="0071513C" w:rsidRDefault="00592093" w:rsidP="00A35A00">
            <w:pPr>
              <w:spacing w:before="100" w:beforeAutospacing="1" w:after="100" w:afterAutospacing="1"/>
              <w:jc w:val="center"/>
              <w:rPr>
                <w:b/>
                <w:lang w:val="fr-CA"/>
              </w:rPr>
            </w:pPr>
            <w:r w:rsidRPr="0071513C">
              <w:rPr>
                <w:lang w:val="fr-CA"/>
              </w:rPr>
              <w:sym w:font="Symbol" w:char="F0DE"/>
            </w:r>
            <w:r w:rsidRPr="0071513C">
              <w:rPr>
                <w:lang w:val="fr-CA"/>
              </w:rPr>
              <w:t xml:space="preserve">  </w:t>
            </w:r>
            <w:r w:rsidR="002E7796" w:rsidRPr="0071513C">
              <w:rPr>
                <w:b/>
                <w:lang w:val="fr-CA"/>
              </w:rPr>
              <w:t xml:space="preserve">Étape </w:t>
            </w:r>
            <w:r w:rsidRPr="0071513C">
              <w:rPr>
                <w:b/>
                <w:lang w:val="fr-CA"/>
              </w:rPr>
              <w:t>2:</w:t>
            </w:r>
          </w:p>
        </w:tc>
        <w:tc>
          <w:tcPr>
            <w:tcW w:w="1451" w:type="pct"/>
            <w:tcBorders>
              <w:left w:val="double" w:sz="4" w:space="0" w:color="auto"/>
            </w:tcBorders>
            <w:vAlign w:val="center"/>
          </w:tcPr>
          <w:p w:rsidR="00592093" w:rsidRPr="0071513C" w:rsidRDefault="00592093" w:rsidP="00A35A00">
            <w:pPr>
              <w:spacing w:before="100" w:beforeAutospacing="1" w:after="100" w:afterAutospacing="1"/>
              <w:jc w:val="center"/>
              <w:rPr>
                <w:b/>
                <w:lang w:val="fr-CA"/>
              </w:rPr>
            </w:pPr>
            <w:r w:rsidRPr="0071513C">
              <w:rPr>
                <w:lang w:val="fr-CA"/>
              </w:rPr>
              <w:sym w:font="Symbol" w:char="F0DE"/>
            </w:r>
            <w:r w:rsidRPr="0071513C">
              <w:rPr>
                <w:lang w:val="fr-CA"/>
              </w:rPr>
              <w:t xml:space="preserve">  </w:t>
            </w:r>
            <w:r w:rsidR="002E7796" w:rsidRPr="0071513C">
              <w:rPr>
                <w:b/>
                <w:lang w:val="fr-CA"/>
              </w:rPr>
              <w:t xml:space="preserve">Étape </w:t>
            </w:r>
            <w:r w:rsidRPr="0071513C">
              <w:rPr>
                <w:b/>
                <w:lang w:val="fr-CA"/>
              </w:rPr>
              <w:t>3:</w:t>
            </w:r>
          </w:p>
        </w:tc>
      </w:tr>
      <w:tr w:rsidR="00B551F4" w:rsidRPr="00ED5483" w:rsidTr="00CD7C91">
        <w:trPr>
          <w:trHeight w:val="297"/>
          <w:jc w:val="center"/>
        </w:trPr>
        <w:tc>
          <w:tcPr>
            <w:tcW w:w="807" w:type="pct"/>
            <w:tcBorders>
              <w:top w:val="single" w:sz="6" w:space="0" w:color="auto"/>
              <w:bottom w:val="single" w:sz="6" w:space="0" w:color="auto"/>
              <w:right w:val="double" w:sz="4" w:space="0" w:color="auto"/>
            </w:tcBorders>
            <w:vAlign w:val="center"/>
          </w:tcPr>
          <w:p w:rsidR="00B551F4" w:rsidRPr="0071513C" w:rsidRDefault="002E7796" w:rsidP="00A35A00">
            <w:pPr>
              <w:spacing w:before="100" w:beforeAutospacing="1" w:after="100" w:afterAutospacing="1"/>
              <w:jc w:val="center"/>
              <w:rPr>
                <w:sz w:val="18"/>
                <w:szCs w:val="18"/>
                <w:lang w:val="fr-CA"/>
              </w:rPr>
            </w:pPr>
            <w:r w:rsidRPr="0071513C">
              <w:rPr>
                <w:sz w:val="18"/>
                <w:szCs w:val="18"/>
                <w:lang w:val="fr-CA"/>
              </w:rPr>
              <w:t>Mesures de distance</w:t>
            </w:r>
            <w:r w:rsidR="00B551F4" w:rsidRPr="0071513C">
              <w:rPr>
                <w:sz w:val="18"/>
                <w:szCs w:val="18"/>
                <w:lang w:val="fr-CA"/>
              </w:rPr>
              <w:t xml:space="preserve"> ±5%</w:t>
            </w:r>
          </w:p>
        </w:tc>
        <w:tc>
          <w:tcPr>
            <w:tcW w:w="1129" w:type="pct"/>
            <w:tcBorders>
              <w:left w:val="double" w:sz="4" w:space="0" w:color="auto"/>
            </w:tcBorders>
            <w:vAlign w:val="center"/>
          </w:tcPr>
          <w:p w:rsidR="00B551F4" w:rsidRPr="0071513C" w:rsidRDefault="002E7796" w:rsidP="00A35A00">
            <w:pPr>
              <w:spacing w:before="100" w:beforeAutospacing="1" w:after="100" w:afterAutospacing="1"/>
              <w:jc w:val="center"/>
              <w:rPr>
                <w:sz w:val="18"/>
                <w:szCs w:val="18"/>
                <w:lang w:val="fr-CA"/>
              </w:rPr>
            </w:pPr>
            <w:r w:rsidRPr="0071513C">
              <w:rPr>
                <w:sz w:val="18"/>
                <w:szCs w:val="18"/>
                <w:lang w:val="fr-CA"/>
              </w:rPr>
              <w:t>Mesure multipliée</w:t>
            </w:r>
            <w:r w:rsidRPr="0071513C">
              <w:rPr>
                <w:sz w:val="18"/>
                <w:szCs w:val="18"/>
                <w:lang w:val="fr-CA"/>
              </w:rPr>
              <w:br/>
              <w:t>par</w:t>
            </w:r>
            <w:r w:rsidR="00B551F4" w:rsidRPr="0071513C">
              <w:rPr>
                <w:sz w:val="18"/>
                <w:szCs w:val="18"/>
                <w:lang w:val="fr-CA"/>
              </w:rPr>
              <w:t xml:space="preserve"> 5%</w:t>
            </w:r>
          </w:p>
        </w:tc>
        <w:tc>
          <w:tcPr>
            <w:tcW w:w="805" w:type="pct"/>
            <w:tcBorders>
              <w:top w:val="single" w:sz="6" w:space="0" w:color="auto"/>
              <w:bottom w:val="single" w:sz="6" w:space="0" w:color="auto"/>
              <w:right w:val="double" w:sz="4" w:space="0" w:color="auto"/>
            </w:tcBorders>
            <w:vAlign w:val="center"/>
          </w:tcPr>
          <w:p w:rsidR="00B551F4" w:rsidRPr="0071513C" w:rsidRDefault="002E7796" w:rsidP="00A35A00">
            <w:pPr>
              <w:spacing w:before="100" w:beforeAutospacing="1" w:after="100" w:afterAutospacing="1"/>
              <w:jc w:val="center"/>
              <w:rPr>
                <w:sz w:val="18"/>
                <w:szCs w:val="18"/>
                <w:lang w:val="fr-CA"/>
              </w:rPr>
            </w:pPr>
            <w:r w:rsidRPr="0071513C">
              <w:rPr>
                <w:sz w:val="18"/>
                <w:szCs w:val="18"/>
                <w:lang w:val="fr-CA"/>
              </w:rPr>
              <w:t xml:space="preserve">Après avoir multiplié par </w:t>
            </w:r>
            <w:r w:rsidR="00B551F4" w:rsidRPr="0071513C">
              <w:rPr>
                <w:sz w:val="18"/>
                <w:szCs w:val="18"/>
                <w:lang w:val="fr-CA"/>
              </w:rPr>
              <w:t>5%</w:t>
            </w:r>
          </w:p>
        </w:tc>
        <w:tc>
          <w:tcPr>
            <w:tcW w:w="807" w:type="pct"/>
            <w:tcBorders>
              <w:top w:val="single" w:sz="6" w:space="0" w:color="auto"/>
              <w:left w:val="double" w:sz="4" w:space="0" w:color="auto"/>
              <w:bottom w:val="single" w:sz="6" w:space="0" w:color="auto"/>
              <w:right w:val="double" w:sz="4" w:space="0" w:color="auto"/>
            </w:tcBorders>
            <w:vAlign w:val="center"/>
          </w:tcPr>
          <w:p w:rsidR="00B551F4" w:rsidRPr="0071513C" w:rsidRDefault="002E7796" w:rsidP="002E7796">
            <w:pPr>
              <w:spacing w:before="100" w:beforeAutospacing="1" w:after="100" w:afterAutospacing="1"/>
              <w:jc w:val="center"/>
              <w:rPr>
                <w:sz w:val="18"/>
                <w:szCs w:val="18"/>
                <w:lang w:val="fr-CA"/>
              </w:rPr>
            </w:pPr>
            <w:r w:rsidRPr="0071513C">
              <w:rPr>
                <w:sz w:val="18"/>
                <w:szCs w:val="18"/>
                <w:lang w:val="fr-CA"/>
              </w:rPr>
              <w:t xml:space="preserve">Ajustement de l’incertitude à </w:t>
            </w:r>
            <w:r w:rsidRPr="0071513C">
              <w:rPr>
                <w:b/>
                <w:sz w:val="18"/>
                <w:szCs w:val="18"/>
                <w:lang w:val="fr-CA"/>
              </w:rPr>
              <w:t>UN</w:t>
            </w:r>
            <w:r w:rsidRPr="0071513C">
              <w:rPr>
                <w:sz w:val="18"/>
                <w:szCs w:val="18"/>
                <w:lang w:val="fr-CA"/>
              </w:rPr>
              <w:t xml:space="preserve"> chiffre significatif</w:t>
            </w:r>
          </w:p>
        </w:tc>
        <w:tc>
          <w:tcPr>
            <w:tcW w:w="1451" w:type="pct"/>
            <w:tcBorders>
              <w:left w:val="double" w:sz="4" w:space="0" w:color="auto"/>
            </w:tcBorders>
            <w:vAlign w:val="center"/>
          </w:tcPr>
          <w:p w:rsidR="00B551F4" w:rsidRPr="0071513C" w:rsidRDefault="002E7796" w:rsidP="002E7796">
            <w:pPr>
              <w:spacing w:before="100" w:beforeAutospacing="1" w:after="100" w:afterAutospacing="1"/>
              <w:jc w:val="center"/>
              <w:rPr>
                <w:sz w:val="18"/>
                <w:szCs w:val="18"/>
                <w:lang w:val="fr-CA"/>
              </w:rPr>
            </w:pPr>
            <w:r w:rsidRPr="0071513C">
              <w:rPr>
                <w:sz w:val="18"/>
                <w:szCs w:val="18"/>
                <w:lang w:val="fr-CA"/>
              </w:rPr>
              <w:t>Dans le but d’avoir le même degré de précision entre l’incertitude et la mesure, ajustez les décimales de chaque mesure aux décimales de leurs incertitudes respectives</w:t>
            </w:r>
          </w:p>
        </w:tc>
      </w:tr>
      <w:tr w:rsidR="00B551F4" w:rsidRPr="0071513C" w:rsidTr="00397DF2">
        <w:trPr>
          <w:trHeight w:val="283"/>
          <w:jc w:val="center"/>
        </w:trPr>
        <w:tc>
          <w:tcPr>
            <w:tcW w:w="807" w:type="pct"/>
            <w:tcBorders>
              <w:top w:val="single" w:sz="6"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12.80</w:t>
            </w:r>
          </w:p>
        </w:tc>
        <w:tc>
          <w:tcPr>
            <w:tcW w:w="1129"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12.80 ± (0.05 × 12.80)</w:t>
            </w:r>
          </w:p>
        </w:tc>
        <w:tc>
          <w:tcPr>
            <w:tcW w:w="805" w:type="pct"/>
            <w:tcBorders>
              <w:top w:val="single" w:sz="6"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12.80 ± 0.64</w:t>
            </w:r>
          </w:p>
        </w:tc>
        <w:tc>
          <w:tcPr>
            <w:tcW w:w="807" w:type="pct"/>
            <w:tcBorders>
              <w:top w:val="single" w:sz="6" w:space="0" w:color="auto"/>
              <w:left w:val="double" w:sz="4"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12.80 ± 0.6</w:t>
            </w:r>
          </w:p>
        </w:tc>
        <w:tc>
          <w:tcPr>
            <w:tcW w:w="1451"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12.8 ± 0.6</w:t>
            </w:r>
          </w:p>
        </w:tc>
      </w:tr>
      <w:tr w:rsidR="00B551F4" w:rsidRPr="0071513C" w:rsidTr="00397DF2">
        <w:trPr>
          <w:trHeight w:val="283"/>
          <w:jc w:val="center"/>
        </w:trPr>
        <w:tc>
          <w:tcPr>
            <w:tcW w:w="807" w:type="pct"/>
            <w:tcBorders>
              <w:top w:val="single" w:sz="6"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17.00</w:t>
            </w:r>
          </w:p>
        </w:tc>
        <w:tc>
          <w:tcPr>
            <w:tcW w:w="1129"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17.00 ± (0.05 × 17.00)</w:t>
            </w:r>
          </w:p>
        </w:tc>
        <w:tc>
          <w:tcPr>
            <w:tcW w:w="805" w:type="pct"/>
            <w:tcBorders>
              <w:top w:val="single" w:sz="6"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17.00 ± 0.85</w:t>
            </w:r>
          </w:p>
        </w:tc>
        <w:tc>
          <w:tcPr>
            <w:tcW w:w="807" w:type="pct"/>
            <w:tcBorders>
              <w:top w:val="single" w:sz="6" w:space="0" w:color="auto"/>
              <w:left w:val="double" w:sz="4"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17.00 ± 0.9</w:t>
            </w:r>
          </w:p>
        </w:tc>
        <w:tc>
          <w:tcPr>
            <w:tcW w:w="1451"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17.0 ± 0.9</w:t>
            </w:r>
          </w:p>
        </w:tc>
      </w:tr>
      <w:tr w:rsidR="00B551F4" w:rsidRPr="0071513C" w:rsidTr="00397DF2">
        <w:trPr>
          <w:trHeight w:val="283"/>
          <w:jc w:val="center"/>
        </w:trPr>
        <w:tc>
          <w:tcPr>
            <w:tcW w:w="807" w:type="pct"/>
            <w:tcBorders>
              <w:top w:val="single" w:sz="6"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17.70</w:t>
            </w:r>
          </w:p>
        </w:tc>
        <w:tc>
          <w:tcPr>
            <w:tcW w:w="1129"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17.70 ± (0.05 × 17.70)</w:t>
            </w:r>
          </w:p>
        </w:tc>
        <w:tc>
          <w:tcPr>
            <w:tcW w:w="805" w:type="pct"/>
            <w:tcBorders>
              <w:top w:val="single" w:sz="6"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17.70 ± 0.885</w:t>
            </w:r>
          </w:p>
        </w:tc>
        <w:tc>
          <w:tcPr>
            <w:tcW w:w="807" w:type="pct"/>
            <w:tcBorders>
              <w:top w:val="single" w:sz="6" w:space="0" w:color="auto"/>
              <w:left w:val="double" w:sz="4"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17.70 ± 0.9</w:t>
            </w:r>
          </w:p>
        </w:tc>
        <w:tc>
          <w:tcPr>
            <w:tcW w:w="1451"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17.7 ± 0.9</w:t>
            </w:r>
          </w:p>
        </w:tc>
      </w:tr>
      <w:tr w:rsidR="00B551F4" w:rsidRPr="0071513C" w:rsidTr="00397DF2">
        <w:trPr>
          <w:trHeight w:val="283"/>
          <w:jc w:val="center"/>
        </w:trPr>
        <w:tc>
          <w:tcPr>
            <w:tcW w:w="807" w:type="pct"/>
            <w:tcBorders>
              <w:top w:val="single" w:sz="6"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20.15</w:t>
            </w:r>
          </w:p>
        </w:tc>
        <w:tc>
          <w:tcPr>
            <w:tcW w:w="1129"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20.15 ± (0.05 × 20.15)</w:t>
            </w:r>
          </w:p>
        </w:tc>
        <w:tc>
          <w:tcPr>
            <w:tcW w:w="805" w:type="pct"/>
            <w:tcBorders>
              <w:top w:val="single" w:sz="6"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20.15 ± 1.0075</w:t>
            </w:r>
          </w:p>
        </w:tc>
        <w:tc>
          <w:tcPr>
            <w:tcW w:w="807" w:type="pct"/>
            <w:tcBorders>
              <w:top w:val="single" w:sz="6" w:space="0" w:color="auto"/>
              <w:left w:val="double" w:sz="4"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20.15 ± 1</w:t>
            </w:r>
          </w:p>
        </w:tc>
        <w:tc>
          <w:tcPr>
            <w:tcW w:w="1451"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20 ± 1</w:t>
            </w:r>
          </w:p>
        </w:tc>
      </w:tr>
      <w:tr w:rsidR="00B551F4" w:rsidRPr="0071513C" w:rsidTr="00397DF2">
        <w:trPr>
          <w:trHeight w:val="283"/>
          <w:jc w:val="center"/>
        </w:trPr>
        <w:tc>
          <w:tcPr>
            <w:tcW w:w="807" w:type="pct"/>
            <w:tcBorders>
              <w:top w:val="single" w:sz="6"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24.00</w:t>
            </w:r>
          </w:p>
        </w:tc>
        <w:tc>
          <w:tcPr>
            <w:tcW w:w="1129"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24.00 ± (0.05 × 24.00)</w:t>
            </w:r>
          </w:p>
        </w:tc>
        <w:tc>
          <w:tcPr>
            <w:tcW w:w="805" w:type="pct"/>
            <w:tcBorders>
              <w:top w:val="single" w:sz="6"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24.00 ± 1.2</w:t>
            </w:r>
          </w:p>
        </w:tc>
        <w:tc>
          <w:tcPr>
            <w:tcW w:w="807" w:type="pct"/>
            <w:tcBorders>
              <w:top w:val="single" w:sz="6" w:space="0" w:color="auto"/>
              <w:left w:val="double" w:sz="4"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24.00 ± 1</w:t>
            </w:r>
          </w:p>
        </w:tc>
        <w:tc>
          <w:tcPr>
            <w:tcW w:w="1451"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24 ± 1</w:t>
            </w:r>
          </w:p>
        </w:tc>
      </w:tr>
      <w:tr w:rsidR="00B551F4" w:rsidRPr="0071513C" w:rsidTr="00397DF2">
        <w:trPr>
          <w:trHeight w:val="283"/>
          <w:jc w:val="center"/>
        </w:trPr>
        <w:tc>
          <w:tcPr>
            <w:tcW w:w="807" w:type="pct"/>
            <w:tcBorders>
              <w:top w:val="single" w:sz="6"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25.05</w:t>
            </w:r>
          </w:p>
        </w:tc>
        <w:tc>
          <w:tcPr>
            <w:tcW w:w="1129"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25.05 ± (0.05 × 25.05)</w:t>
            </w:r>
          </w:p>
        </w:tc>
        <w:tc>
          <w:tcPr>
            <w:tcW w:w="805" w:type="pct"/>
            <w:tcBorders>
              <w:top w:val="single" w:sz="6"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25.05 ± 1.2525</w:t>
            </w:r>
          </w:p>
        </w:tc>
        <w:tc>
          <w:tcPr>
            <w:tcW w:w="807" w:type="pct"/>
            <w:tcBorders>
              <w:top w:val="single" w:sz="6" w:space="0" w:color="auto"/>
              <w:left w:val="double" w:sz="4"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25.05 ± 1</w:t>
            </w:r>
          </w:p>
        </w:tc>
        <w:tc>
          <w:tcPr>
            <w:tcW w:w="1451"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25 ± 1</w:t>
            </w:r>
          </w:p>
        </w:tc>
      </w:tr>
      <w:tr w:rsidR="00B551F4" w:rsidRPr="0071513C" w:rsidTr="00397DF2">
        <w:trPr>
          <w:trHeight w:val="283"/>
          <w:jc w:val="center"/>
        </w:trPr>
        <w:tc>
          <w:tcPr>
            <w:tcW w:w="807" w:type="pct"/>
            <w:tcBorders>
              <w:top w:val="single" w:sz="6"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26.00</w:t>
            </w:r>
          </w:p>
        </w:tc>
        <w:tc>
          <w:tcPr>
            <w:tcW w:w="1129"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26.00 ± (0.05 × 26.00)</w:t>
            </w:r>
          </w:p>
        </w:tc>
        <w:tc>
          <w:tcPr>
            <w:tcW w:w="805" w:type="pct"/>
            <w:tcBorders>
              <w:top w:val="single" w:sz="6"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26.00 ± 1.3</w:t>
            </w:r>
          </w:p>
        </w:tc>
        <w:tc>
          <w:tcPr>
            <w:tcW w:w="807" w:type="pct"/>
            <w:tcBorders>
              <w:top w:val="single" w:sz="6" w:space="0" w:color="auto"/>
              <w:left w:val="double" w:sz="4"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26.00 ± 1</w:t>
            </w:r>
          </w:p>
        </w:tc>
        <w:tc>
          <w:tcPr>
            <w:tcW w:w="1451"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26 ± 1</w:t>
            </w:r>
          </w:p>
        </w:tc>
      </w:tr>
      <w:tr w:rsidR="00B551F4" w:rsidRPr="0071513C" w:rsidTr="00397DF2">
        <w:trPr>
          <w:trHeight w:val="283"/>
          <w:jc w:val="center"/>
        </w:trPr>
        <w:tc>
          <w:tcPr>
            <w:tcW w:w="807" w:type="pct"/>
            <w:tcBorders>
              <w:top w:val="single" w:sz="6"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29.95</w:t>
            </w:r>
          </w:p>
        </w:tc>
        <w:tc>
          <w:tcPr>
            <w:tcW w:w="1129"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29.95 ± (0.05 × 29.95)</w:t>
            </w:r>
          </w:p>
        </w:tc>
        <w:tc>
          <w:tcPr>
            <w:tcW w:w="805" w:type="pct"/>
            <w:tcBorders>
              <w:top w:val="single" w:sz="6"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29.95 ± 1.4975</w:t>
            </w:r>
          </w:p>
        </w:tc>
        <w:tc>
          <w:tcPr>
            <w:tcW w:w="807" w:type="pct"/>
            <w:tcBorders>
              <w:top w:val="single" w:sz="6" w:space="0" w:color="auto"/>
              <w:left w:val="double" w:sz="4"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29.95 ± 1</w:t>
            </w:r>
          </w:p>
        </w:tc>
        <w:tc>
          <w:tcPr>
            <w:tcW w:w="1451"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30 ± 1</w:t>
            </w:r>
          </w:p>
        </w:tc>
      </w:tr>
      <w:tr w:rsidR="00B551F4" w:rsidRPr="0071513C" w:rsidTr="00397DF2">
        <w:trPr>
          <w:trHeight w:val="283"/>
          <w:jc w:val="center"/>
        </w:trPr>
        <w:tc>
          <w:tcPr>
            <w:tcW w:w="807" w:type="pct"/>
            <w:tcBorders>
              <w:top w:val="single" w:sz="6"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33.00</w:t>
            </w:r>
          </w:p>
        </w:tc>
        <w:tc>
          <w:tcPr>
            <w:tcW w:w="1129"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33.00 ± (0.05 × 33.00)</w:t>
            </w:r>
          </w:p>
        </w:tc>
        <w:tc>
          <w:tcPr>
            <w:tcW w:w="805" w:type="pct"/>
            <w:tcBorders>
              <w:top w:val="single" w:sz="6"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33.00 ± 1.65</w:t>
            </w:r>
          </w:p>
        </w:tc>
        <w:tc>
          <w:tcPr>
            <w:tcW w:w="807" w:type="pct"/>
            <w:tcBorders>
              <w:top w:val="single" w:sz="6" w:space="0" w:color="auto"/>
              <w:left w:val="double" w:sz="4" w:space="0" w:color="auto"/>
              <w:bottom w:val="single" w:sz="6"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33.00 ± 2</w:t>
            </w:r>
          </w:p>
        </w:tc>
        <w:tc>
          <w:tcPr>
            <w:tcW w:w="1451"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33 ± 2</w:t>
            </w:r>
          </w:p>
        </w:tc>
      </w:tr>
      <w:tr w:rsidR="00CD7C91" w:rsidRPr="0071513C" w:rsidTr="00397DF2">
        <w:trPr>
          <w:trHeight w:val="283"/>
          <w:jc w:val="center"/>
        </w:trPr>
        <w:tc>
          <w:tcPr>
            <w:tcW w:w="807" w:type="pct"/>
            <w:tcBorders>
              <w:top w:val="single" w:sz="6" w:space="0" w:color="auto"/>
              <w:bottom w:val="single" w:sz="4"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34.85</w:t>
            </w:r>
          </w:p>
        </w:tc>
        <w:tc>
          <w:tcPr>
            <w:tcW w:w="1129"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34.85 ± (0.05 × 34.85)</w:t>
            </w:r>
          </w:p>
        </w:tc>
        <w:tc>
          <w:tcPr>
            <w:tcW w:w="805" w:type="pct"/>
            <w:tcBorders>
              <w:top w:val="single" w:sz="6" w:space="0" w:color="auto"/>
              <w:bottom w:val="single" w:sz="4"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34.85 ± 1.7425</w:t>
            </w:r>
          </w:p>
        </w:tc>
        <w:tc>
          <w:tcPr>
            <w:tcW w:w="807" w:type="pct"/>
            <w:tcBorders>
              <w:top w:val="single" w:sz="6" w:space="0" w:color="auto"/>
              <w:left w:val="double" w:sz="4" w:space="0" w:color="auto"/>
              <w:bottom w:val="single" w:sz="4" w:space="0" w:color="auto"/>
              <w:righ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34.85 ± 2</w:t>
            </w:r>
          </w:p>
        </w:tc>
        <w:tc>
          <w:tcPr>
            <w:tcW w:w="1451" w:type="pct"/>
            <w:tcBorders>
              <w:left w:val="double" w:sz="4" w:space="0" w:color="auto"/>
            </w:tcBorders>
            <w:vAlign w:val="center"/>
          </w:tcPr>
          <w:p w:rsidR="00B551F4" w:rsidRPr="0071513C" w:rsidRDefault="00B551F4" w:rsidP="00A35A00">
            <w:pPr>
              <w:spacing w:before="100" w:beforeAutospacing="1" w:after="100" w:afterAutospacing="1"/>
              <w:jc w:val="center"/>
              <w:rPr>
                <w:sz w:val="18"/>
                <w:szCs w:val="18"/>
                <w:lang w:val="fr-CA"/>
              </w:rPr>
            </w:pPr>
            <w:r w:rsidRPr="0071513C">
              <w:rPr>
                <w:sz w:val="18"/>
                <w:szCs w:val="18"/>
                <w:lang w:val="fr-CA"/>
              </w:rPr>
              <w:t>35 ± 2</w:t>
            </w:r>
          </w:p>
        </w:tc>
      </w:tr>
    </w:tbl>
    <w:p w:rsidR="00DD3E2C" w:rsidRPr="0071513C" w:rsidRDefault="00DD3E2C" w:rsidP="00B551F4">
      <w:pPr>
        <w:jc w:val="left"/>
        <w:rPr>
          <w:lang w:val="fr-CA"/>
        </w:rPr>
      </w:pPr>
      <w:r w:rsidRPr="0071513C">
        <w:rPr>
          <w:lang w:val="fr-CA"/>
        </w:rPr>
        <w:t xml:space="preserve"> </w:t>
      </w:r>
    </w:p>
    <w:sectPr w:rsidR="00DD3E2C" w:rsidRPr="0071513C" w:rsidSect="00B35265">
      <w:footerReference w:type="default" r:id="rId9"/>
      <w:footnotePr>
        <w:numRestart w:val="eachSect"/>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46" w:rsidRDefault="00DF0A46" w:rsidP="00D04310">
      <w:r>
        <w:separator/>
      </w:r>
    </w:p>
  </w:endnote>
  <w:endnote w:type="continuationSeparator" w:id="0">
    <w:p w:rsidR="00DF0A46" w:rsidRDefault="00DF0A46" w:rsidP="00D0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10"/>
      <w:gridCol w:w="766"/>
    </w:tblGrid>
    <w:tr w:rsidR="00DF0A46" w:rsidTr="00A610E2">
      <w:tc>
        <w:tcPr>
          <w:tcW w:w="4600" w:type="pct"/>
          <w:tcBorders>
            <w:top w:val="single" w:sz="4" w:space="0" w:color="auto"/>
            <w:right w:val="nil"/>
          </w:tcBorders>
        </w:tcPr>
        <w:p w:rsidR="00DF0A46" w:rsidRPr="004677E7" w:rsidRDefault="008E1EB9" w:rsidP="007649D1">
          <w:pPr>
            <w:pStyle w:val="Footer"/>
            <w:jc w:val="left"/>
          </w:pPr>
          <w:r>
            <w:fldChar w:fldCharType="begin"/>
          </w:r>
          <w:r>
            <w:instrText xml:space="preserve"> REF _Ref358967577 \h </w:instrText>
          </w:r>
          <w:r>
            <w:fldChar w:fldCharType="separate"/>
          </w:r>
          <w:r w:rsidR="00ED5483" w:rsidRPr="0071513C">
            <w:rPr>
              <w:lang w:val="fr-CA"/>
            </w:rPr>
            <w:t>Tutoriel – Préparer un tableau</w:t>
          </w:r>
          <w:r>
            <w:fldChar w:fldCharType="end"/>
          </w:r>
        </w:p>
      </w:tc>
      <w:tc>
        <w:tcPr>
          <w:tcW w:w="400" w:type="pct"/>
          <w:tcBorders>
            <w:top w:val="single" w:sz="4" w:space="0" w:color="auto"/>
            <w:left w:val="nil"/>
          </w:tcBorders>
        </w:tcPr>
        <w:p w:rsidR="00DF0A46" w:rsidRPr="00A610E2" w:rsidRDefault="00DF0A46" w:rsidP="00A610E2">
          <w:pPr>
            <w:pStyle w:val="Footer"/>
            <w:jc w:val="right"/>
            <w:rPr>
              <w:color w:val="auto"/>
            </w:rPr>
          </w:pPr>
          <w:r w:rsidRPr="00A610E2">
            <w:rPr>
              <w:color w:val="auto"/>
            </w:rPr>
            <w:fldChar w:fldCharType="begin"/>
          </w:r>
          <w:r w:rsidRPr="00A610E2">
            <w:rPr>
              <w:color w:val="auto"/>
            </w:rPr>
            <w:instrText xml:space="preserve"> PAGE   \* MERGEFORMAT </w:instrText>
          </w:r>
          <w:r w:rsidRPr="00A610E2">
            <w:rPr>
              <w:color w:val="auto"/>
            </w:rPr>
            <w:fldChar w:fldCharType="separate"/>
          </w:r>
          <w:r w:rsidR="00ED5483" w:rsidRPr="00ED5483">
            <w:rPr>
              <w:bCs/>
              <w:noProof/>
              <w:color w:val="auto"/>
            </w:rPr>
            <w:t>1</w:t>
          </w:r>
          <w:r w:rsidRPr="00A610E2">
            <w:rPr>
              <w:bCs/>
              <w:noProof/>
              <w:color w:val="auto"/>
            </w:rPr>
            <w:fldChar w:fldCharType="end"/>
          </w:r>
        </w:p>
      </w:tc>
    </w:tr>
  </w:tbl>
  <w:p w:rsidR="00DF0A46" w:rsidRDefault="00DF0A46" w:rsidP="00D0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46" w:rsidRDefault="00DF0A46" w:rsidP="00D04310">
      <w:r>
        <w:separator/>
      </w:r>
    </w:p>
  </w:footnote>
  <w:footnote w:type="continuationSeparator" w:id="0">
    <w:p w:rsidR="00DF0A46" w:rsidRDefault="00DF0A46" w:rsidP="00D04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45F"/>
    <w:multiLevelType w:val="hybridMultilevel"/>
    <w:tmpl w:val="D2301272"/>
    <w:lvl w:ilvl="0" w:tplc="28A80FC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5151B7"/>
    <w:multiLevelType w:val="hybridMultilevel"/>
    <w:tmpl w:val="57BC1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971332"/>
    <w:multiLevelType w:val="hybridMultilevel"/>
    <w:tmpl w:val="12BAC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A2489A"/>
    <w:multiLevelType w:val="hybridMultilevel"/>
    <w:tmpl w:val="DF7AE4E0"/>
    <w:lvl w:ilvl="0" w:tplc="0BBEB92C">
      <w:start w:val="1"/>
      <w:numFmt w:val="decimal"/>
      <w:lvlText w:val="Step %1."/>
      <w:lvlJc w:val="right"/>
      <w:pPr>
        <w:ind w:left="720" w:hanging="360"/>
      </w:pPr>
      <w:rPr>
        <w:rFonts w:hint="default"/>
        <w:b w:val="0"/>
        <w:i/>
        <w:caps/>
        <w:color w:val="00000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EA12136"/>
    <w:multiLevelType w:val="hybridMultilevel"/>
    <w:tmpl w:val="9238D7F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1D1DF7"/>
    <w:multiLevelType w:val="hybridMultilevel"/>
    <w:tmpl w:val="A6B4B2D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781CA2"/>
    <w:multiLevelType w:val="hybridMultilevel"/>
    <w:tmpl w:val="9836F0CA"/>
    <w:lvl w:ilvl="0" w:tplc="FC8E6178">
      <w:start w:val="1"/>
      <w:numFmt w:val="decimal"/>
      <w:lvlText w:val="Step %1."/>
      <w:lvlJc w:val="right"/>
      <w:pPr>
        <w:ind w:left="1080" w:hanging="360"/>
      </w:pPr>
      <w:rPr>
        <w:rFonts w:ascii="Calibri" w:hAnsi="Calibri" w:hint="default"/>
        <w:b w:val="0"/>
        <w:i/>
        <w:caps w:val="0"/>
        <w:color w:val="95B3D7" w:themeColor="accent1" w:themeTint="99"/>
        <w14:numSpacing w14:val="tabular"/>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320D5020"/>
    <w:multiLevelType w:val="hybridMultilevel"/>
    <w:tmpl w:val="296C7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2E774FD"/>
    <w:multiLevelType w:val="hybridMultilevel"/>
    <w:tmpl w:val="A93CD2F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FB256A1"/>
    <w:multiLevelType w:val="hybridMultilevel"/>
    <w:tmpl w:val="3D4CDABA"/>
    <w:lvl w:ilvl="0" w:tplc="C52836F2">
      <w:start w:val="1"/>
      <w:numFmt w:val="decimal"/>
      <w:lvlText w:val="Step %1."/>
      <w:lvlJc w:val="right"/>
      <w:pPr>
        <w:ind w:left="1080" w:hanging="360"/>
      </w:pPr>
      <w:rPr>
        <w:rFonts w:ascii="Calibri" w:hAnsi="Calibri" w:hint="default"/>
        <w:b w:val="0"/>
        <w:i/>
        <w:caps w:val="0"/>
        <w:color w:val="9BBB59" w:themeColor="accent3"/>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4ED75E2E"/>
    <w:multiLevelType w:val="hybridMultilevel"/>
    <w:tmpl w:val="CE566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F9375E2"/>
    <w:multiLevelType w:val="hybridMultilevel"/>
    <w:tmpl w:val="645A2D7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6E717D4"/>
    <w:multiLevelType w:val="hybridMultilevel"/>
    <w:tmpl w:val="C478A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9E86728"/>
    <w:multiLevelType w:val="multilevel"/>
    <w:tmpl w:val="BC6C11B2"/>
    <w:lvl w:ilvl="0">
      <w:start w:val="1"/>
      <w:numFmt w:val="decimal"/>
      <w:lvlText w:val="Step %1."/>
      <w:lvlJc w:val="center"/>
      <w:pPr>
        <w:ind w:left="720" w:hanging="360"/>
      </w:pPr>
      <w:rPr>
        <w:rFonts w:ascii="Calibri" w:hAnsi="Calibri" w:hint="default"/>
        <w:b w:val="0"/>
        <w:i/>
        <w:caps w:val="0"/>
        <w:color w:val="95B3D7" w:themeColor="accent1" w:themeTint="99"/>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0BA081E"/>
    <w:multiLevelType w:val="hybridMultilevel"/>
    <w:tmpl w:val="3566E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1054956"/>
    <w:multiLevelType w:val="hybridMultilevel"/>
    <w:tmpl w:val="CF00ADDC"/>
    <w:lvl w:ilvl="0" w:tplc="D8D615E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1606C6B"/>
    <w:multiLevelType w:val="hybridMultilevel"/>
    <w:tmpl w:val="1EDC4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5D3174E"/>
    <w:multiLevelType w:val="hybridMultilevel"/>
    <w:tmpl w:val="2F48564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EC008E0"/>
    <w:multiLevelType w:val="hybridMultilevel"/>
    <w:tmpl w:val="AA82A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0E12F71"/>
    <w:multiLevelType w:val="hybridMultilevel"/>
    <w:tmpl w:val="5A669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3525AAC"/>
    <w:multiLevelType w:val="hybridMultilevel"/>
    <w:tmpl w:val="79E85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E12563C"/>
    <w:multiLevelType w:val="hybridMultilevel"/>
    <w:tmpl w:val="06286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10"/>
  </w:num>
  <w:num w:numId="6">
    <w:abstractNumId w:val="5"/>
  </w:num>
  <w:num w:numId="7">
    <w:abstractNumId w:val="4"/>
  </w:num>
  <w:num w:numId="8">
    <w:abstractNumId w:val="15"/>
  </w:num>
  <w:num w:numId="9">
    <w:abstractNumId w:val="21"/>
  </w:num>
  <w:num w:numId="10">
    <w:abstractNumId w:val="19"/>
  </w:num>
  <w:num w:numId="11">
    <w:abstractNumId w:val="0"/>
  </w:num>
  <w:num w:numId="12">
    <w:abstractNumId w:val="3"/>
  </w:num>
  <w:num w:numId="13">
    <w:abstractNumId w:val="9"/>
  </w:num>
  <w:num w:numId="14">
    <w:abstractNumId w:val="14"/>
  </w:num>
  <w:num w:numId="15">
    <w:abstractNumId w:val="17"/>
  </w:num>
  <w:num w:numId="16">
    <w:abstractNumId w:val="20"/>
  </w:num>
  <w:num w:numId="17">
    <w:abstractNumId w:val="13"/>
  </w:num>
  <w:num w:numId="18">
    <w:abstractNumId w:val="6"/>
  </w:num>
  <w:num w:numId="19">
    <w:abstractNumId w:val="2"/>
  </w:num>
  <w:num w:numId="20">
    <w:abstractNumId w:val="18"/>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8A"/>
    <w:rsid w:val="00005AEC"/>
    <w:rsid w:val="00006C72"/>
    <w:rsid w:val="000143D0"/>
    <w:rsid w:val="000160ED"/>
    <w:rsid w:val="000244BE"/>
    <w:rsid w:val="0003016D"/>
    <w:rsid w:val="00030592"/>
    <w:rsid w:val="00035867"/>
    <w:rsid w:val="0004637E"/>
    <w:rsid w:val="00053B41"/>
    <w:rsid w:val="00057C32"/>
    <w:rsid w:val="0006400C"/>
    <w:rsid w:val="00076985"/>
    <w:rsid w:val="00082F0B"/>
    <w:rsid w:val="00087D5B"/>
    <w:rsid w:val="0009587E"/>
    <w:rsid w:val="000978A1"/>
    <w:rsid w:val="000A1594"/>
    <w:rsid w:val="000A53F9"/>
    <w:rsid w:val="000B3373"/>
    <w:rsid w:val="000C1C03"/>
    <w:rsid w:val="000E55BE"/>
    <w:rsid w:val="000F0847"/>
    <w:rsid w:val="000F1D74"/>
    <w:rsid w:val="000F7D4C"/>
    <w:rsid w:val="001148D5"/>
    <w:rsid w:val="00117D70"/>
    <w:rsid w:val="00130007"/>
    <w:rsid w:val="00131250"/>
    <w:rsid w:val="00133383"/>
    <w:rsid w:val="00134554"/>
    <w:rsid w:val="00156A57"/>
    <w:rsid w:val="00160105"/>
    <w:rsid w:val="0016287D"/>
    <w:rsid w:val="00167BA7"/>
    <w:rsid w:val="00174962"/>
    <w:rsid w:val="001821B5"/>
    <w:rsid w:val="001A21B0"/>
    <w:rsid w:val="001A6E6F"/>
    <w:rsid w:val="001B5EC4"/>
    <w:rsid w:val="00210680"/>
    <w:rsid w:val="00217E54"/>
    <w:rsid w:val="00222807"/>
    <w:rsid w:val="002371B8"/>
    <w:rsid w:val="00244E47"/>
    <w:rsid w:val="002853C6"/>
    <w:rsid w:val="002903A6"/>
    <w:rsid w:val="0029709D"/>
    <w:rsid w:val="002A0537"/>
    <w:rsid w:val="002A51BC"/>
    <w:rsid w:val="002B3D31"/>
    <w:rsid w:val="002B56BF"/>
    <w:rsid w:val="002B56F6"/>
    <w:rsid w:val="002C39FD"/>
    <w:rsid w:val="002D1DCA"/>
    <w:rsid w:val="002D3C8A"/>
    <w:rsid w:val="002D73A6"/>
    <w:rsid w:val="002E290A"/>
    <w:rsid w:val="002E3CE5"/>
    <w:rsid w:val="002E5E27"/>
    <w:rsid w:val="002E7796"/>
    <w:rsid w:val="002F1666"/>
    <w:rsid w:val="002F23E0"/>
    <w:rsid w:val="002F6683"/>
    <w:rsid w:val="00302795"/>
    <w:rsid w:val="0030300F"/>
    <w:rsid w:val="0031213E"/>
    <w:rsid w:val="003121A6"/>
    <w:rsid w:val="00314DA2"/>
    <w:rsid w:val="00317D38"/>
    <w:rsid w:val="00321AF5"/>
    <w:rsid w:val="003335E4"/>
    <w:rsid w:val="00336DED"/>
    <w:rsid w:val="00340B5C"/>
    <w:rsid w:val="00343D55"/>
    <w:rsid w:val="00346871"/>
    <w:rsid w:val="0035479B"/>
    <w:rsid w:val="00356D06"/>
    <w:rsid w:val="00361F92"/>
    <w:rsid w:val="00384283"/>
    <w:rsid w:val="00387032"/>
    <w:rsid w:val="00391DAF"/>
    <w:rsid w:val="0039511B"/>
    <w:rsid w:val="00397DF2"/>
    <w:rsid w:val="003A19D8"/>
    <w:rsid w:val="003A286F"/>
    <w:rsid w:val="003A70D2"/>
    <w:rsid w:val="003C15EF"/>
    <w:rsid w:val="003C3E64"/>
    <w:rsid w:val="003D0FBF"/>
    <w:rsid w:val="003D7ECA"/>
    <w:rsid w:val="003E23EB"/>
    <w:rsid w:val="004029FD"/>
    <w:rsid w:val="0040439E"/>
    <w:rsid w:val="00405D3C"/>
    <w:rsid w:val="0041734D"/>
    <w:rsid w:val="0043712C"/>
    <w:rsid w:val="00463AB9"/>
    <w:rsid w:val="00464636"/>
    <w:rsid w:val="00465B5A"/>
    <w:rsid w:val="00465F79"/>
    <w:rsid w:val="004677E7"/>
    <w:rsid w:val="00483D0B"/>
    <w:rsid w:val="00486C75"/>
    <w:rsid w:val="004936DA"/>
    <w:rsid w:val="00493BBA"/>
    <w:rsid w:val="004B2DA6"/>
    <w:rsid w:val="004E633D"/>
    <w:rsid w:val="004F7E5C"/>
    <w:rsid w:val="005167CE"/>
    <w:rsid w:val="0052422E"/>
    <w:rsid w:val="00536957"/>
    <w:rsid w:val="005413DE"/>
    <w:rsid w:val="00550682"/>
    <w:rsid w:val="00554189"/>
    <w:rsid w:val="00567637"/>
    <w:rsid w:val="00572269"/>
    <w:rsid w:val="0057442B"/>
    <w:rsid w:val="005749D9"/>
    <w:rsid w:val="00585FC3"/>
    <w:rsid w:val="00592093"/>
    <w:rsid w:val="00595404"/>
    <w:rsid w:val="00596045"/>
    <w:rsid w:val="005A128E"/>
    <w:rsid w:val="005B71E4"/>
    <w:rsid w:val="005C3BDB"/>
    <w:rsid w:val="005C54B4"/>
    <w:rsid w:val="005C6288"/>
    <w:rsid w:val="005D1097"/>
    <w:rsid w:val="005D20B1"/>
    <w:rsid w:val="005E6481"/>
    <w:rsid w:val="006024EA"/>
    <w:rsid w:val="00602AAD"/>
    <w:rsid w:val="0060350A"/>
    <w:rsid w:val="006233D2"/>
    <w:rsid w:val="006516C1"/>
    <w:rsid w:val="006537A1"/>
    <w:rsid w:val="00662BAA"/>
    <w:rsid w:val="0066771A"/>
    <w:rsid w:val="00673FC5"/>
    <w:rsid w:val="00681EE3"/>
    <w:rsid w:val="00682C46"/>
    <w:rsid w:val="00693B4A"/>
    <w:rsid w:val="00694F97"/>
    <w:rsid w:val="0069541A"/>
    <w:rsid w:val="006A1F9E"/>
    <w:rsid w:val="006A222A"/>
    <w:rsid w:val="006B50B7"/>
    <w:rsid w:val="006D0E09"/>
    <w:rsid w:val="006D149F"/>
    <w:rsid w:val="006D59CB"/>
    <w:rsid w:val="006E565F"/>
    <w:rsid w:val="006F79D0"/>
    <w:rsid w:val="0071513C"/>
    <w:rsid w:val="007243AA"/>
    <w:rsid w:val="00736A45"/>
    <w:rsid w:val="00745631"/>
    <w:rsid w:val="00745E2A"/>
    <w:rsid w:val="00747A75"/>
    <w:rsid w:val="007519A5"/>
    <w:rsid w:val="007649D1"/>
    <w:rsid w:val="00785812"/>
    <w:rsid w:val="00787434"/>
    <w:rsid w:val="007920D2"/>
    <w:rsid w:val="00797AB3"/>
    <w:rsid w:val="007A0E6C"/>
    <w:rsid w:val="007B387A"/>
    <w:rsid w:val="007B3AC0"/>
    <w:rsid w:val="007B6E4F"/>
    <w:rsid w:val="007C6740"/>
    <w:rsid w:val="007D0BA2"/>
    <w:rsid w:val="007E384D"/>
    <w:rsid w:val="007F73C2"/>
    <w:rsid w:val="0080111B"/>
    <w:rsid w:val="00803ED8"/>
    <w:rsid w:val="00805293"/>
    <w:rsid w:val="008065CD"/>
    <w:rsid w:val="00844204"/>
    <w:rsid w:val="00850008"/>
    <w:rsid w:val="00856FFB"/>
    <w:rsid w:val="0086010D"/>
    <w:rsid w:val="00892F5C"/>
    <w:rsid w:val="008A0654"/>
    <w:rsid w:val="008A0D57"/>
    <w:rsid w:val="008A3A4F"/>
    <w:rsid w:val="008D0C0D"/>
    <w:rsid w:val="008D4572"/>
    <w:rsid w:val="008E1EB9"/>
    <w:rsid w:val="008E6C03"/>
    <w:rsid w:val="009067EA"/>
    <w:rsid w:val="009075F9"/>
    <w:rsid w:val="00917164"/>
    <w:rsid w:val="00920170"/>
    <w:rsid w:val="009454C5"/>
    <w:rsid w:val="00945718"/>
    <w:rsid w:val="0094678A"/>
    <w:rsid w:val="00956486"/>
    <w:rsid w:val="0097051E"/>
    <w:rsid w:val="00973A7F"/>
    <w:rsid w:val="00983CEB"/>
    <w:rsid w:val="009A5FB5"/>
    <w:rsid w:val="009B1C1E"/>
    <w:rsid w:val="009D287B"/>
    <w:rsid w:val="009E2F2A"/>
    <w:rsid w:val="009E6CE8"/>
    <w:rsid w:val="00A02EDA"/>
    <w:rsid w:val="00A113A2"/>
    <w:rsid w:val="00A145E7"/>
    <w:rsid w:val="00A22D24"/>
    <w:rsid w:val="00A30D9E"/>
    <w:rsid w:val="00A41371"/>
    <w:rsid w:val="00A431F3"/>
    <w:rsid w:val="00A56812"/>
    <w:rsid w:val="00A610E2"/>
    <w:rsid w:val="00A7060F"/>
    <w:rsid w:val="00A851F7"/>
    <w:rsid w:val="00A85465"/>
    <w:rsid w:val="00A92D08"/>
    <w:rsid w:val="00A95C7F"/>
    <w:rsid w:val="00A96014"/>
    <w:rsid w:val="00A9708A"/>
    <w:rsid w:val="00AB543B"/>
    <w:rsid w:val="00AC60B9"/>
    <w:rsid w:val="00AC7081"/>
    <w:rsid w:val="00AD0E8B"/>
    <w:rsid w:val="00AD186D"/>
    <w:rsid w:val="00AD74F9"/>
    <w:rsid w:val="00AE363C"/>
    <w:rsid w:val="00AE48ED"/>
    <w:rsid w:val="00AF24E4"/>
    <w:rsid w:val="00B01A99"/>
    <w:rsid w:val="00B0310A"/>
    <w:rsid w:val="00B06D66"/>
    <w:rsid w:val="00B12E53"/>
    <w:rsid w:val="00B161CF"/>
    <w:rsid w:val="00B323BF"/>
    <w:rsid w:val="00B35265"/>
    <w:rsid w:val="00B3539E"/>
    <w:rsid w:val="00B422E3"/>
    <w:rsid w:val="00B551F4"/>
    <w:rsid w:val="00B5790D"/>
    <w:rsid w:val="00B604EE"/>
    <w:rsid w:val="00B605B4"/>
    <w:rsid w:val="00B650FB"/>
    <w:rsid w:val="00B67EE2"/>
    <w:rsid w:val="00B76594"/>
    <w:rsid w:val="00B82CA5"/>
    <w:rsid w:val="00B85956"/>
    <w:rsid w:val="00B952B7"/>
    <w:rsid w:val="00BA3011"/>
    <w:rsid w:val="00BA3EB8"/>
    <w:rsid w:val="00BA448B"/>
    <w:rsid w:val="00BC71ED"/>
    <w:rsid w:val="00BE4329"/>
    <w:rsid w:val="00BE4535"/>
    <w:rsid w:val="00BF17FA"/>
    <w:rsid w:val="00BF3A5B"/>
    <w:rsid w:val="00C03786"/>
    <w:rsid w:val="00C10996"/>
    <w:rsid w:val="00C11679"/>
    <w:rsid w:val="00C161FA"/>
    <w:rsid w:val="00C2139C"/>
    <w:rsid w:val="00C2290E"/>
    <w:rsid w:val="00C22A8F"/>
    <w:rsid w:val="00C261AE"/>
    <w:rsid w:val="00C32C8E"/>
    <w:rsid w:val="00C42E6B"/>
    <w:rsid w:val="00C4766B"/>
    <w:rsid w:val="00C65221"/>
    <w:rsid w:val="00C70AC1"/>
    <w:rsid w:val="00C750E6"/>
    <w:rsid w:val="00C76669"/>
    <w:rsid w:val="00C82DF6"/>
    <w:rsid w:val="00C92E9B"/>
    <w:rsid w:val="00C93285"/>
    <w:rsid w:val="00CA2AB3"/>
    <w:rsid w:val="00CA5D26"/>
    <w:rsid w:val="00CA781C"/>
    <w:rsid w:val="00CB772C"/>
    <w:rsid w:val="00CC069B"/>
    <w:rsid w:val="00CC62AD"/>
    <w:rsid w:val="00CD6BEE"/>
    <w:rsid w:val="00CD7C91"/>
    <w:rsid w:val="00CF75AC"/>
    <w:rsid w:val="00D04310"/>
    <w:rsid w:val="00D12A1F"/>
    <w:rsid w:val="00D25166"/>
    <w:rsid w:val="00D408A4"/>
    <w:rsid w:val="00D40EF6"/>
    <w:rsid w:val="00D50054"/>
    <w:rsid w:val="00D6226C"/>
    <w:rsid w:val="00D64087"/>
    <w:rsid w:val="00D7087E"/>
    <w:rsid w:val="00D724C2"/>
    <w:rsid w:val="00D80E28"/>
    <w:rsid w:val="00D869D8"/>
    <w:rsid w:val="00D91E91"/>
    <w:rsid w:val="00D97688"/>
    <w:rsid w:val="00DB7419"/>
    <w:rsid w:val="00DD1E5C"/>
    <w:rsid w:val="00DD3E2C"/>
    <w:rsid w:val="00DD54BE"/>
    <w:rsid w:val="00DE3528"/>
    <w:rsid w:val="00DE7853"/>
    <w:rsid w:val="00DF0A46"/>
    <w:rsid w:val="00DF2A9D"/>
    <w:rsid w:val="00DF55AC"/>
    <w:rsid w:val="00E05C7C"/>
    <w:rsid w:val="00E06987"/>
    <w:rsid w:val="00E16B19"/>
    <w:rsid w:val="00E34325"/>
    <w:rsid w:val="00E347D9"/>
    <w:rsid w:val="00E40AFE"/>
    <w:rsid w:val="00E51FCE"/>
    <w:rsid w:val="00E577E1"/>
    <w:rsid w:val="00E647D1"/>
    <w:rsid w:val="00E77A75"/>
    <w:rsid w:val="00E8566F"/>
    <w:rsid w:val="00EB5551"/>
    <w:rsid w:val="00ED5483"/>
    <w:rsid w:val="00EE7438"/>
    <w:rsid w:val="00EF1CAA"/>
    <w:rsid w:val="00F21923"/>
    <w:rsid w:val="00F30EB9"/>
    <w:rsid w:val="00F31672"/>
    <w:rsid w:val="00F37EB2"/>
    <w:rsid w:val="00F4721F"/>
    <w:rsid w:val="00F51112"/>
    <w:rsid w:val="00F52DB1"/>
    <w:rsid w:val="00F64489"/>
    <w:rsid w:val="00F64AB4"/>
    <w:rsid w:val="00F66761"/>
    <w:rsid w:val="00F66AB1"/>
    <w:rsid w:val="00F67D4E"/>
    <w:rsid w:val="00F71FA5"/>
    <w:rsid w:val="00F81D04"/>
    <w:rsid w:val="00F9664F"/>
    <w:rsid w:val="00F968F6"/>
    <w:rsid w:val="00F978DE"/>
    <w:rsid w:val="00FE1F66"/>
    <w:rsid w:val="00FE2C82"/>
    <w:rsid w:val="00FF0B42"/>
    <w:rsid w:val="00FF4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AF24E4"/>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160105"/>
    <w:pPr>
      <w:keepNext/>
      <w:keepLines/>
      <w:spacing w:before="200"/>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AF24E4"/>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160105"/>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AF24E4"/>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160105"/>
    <w:pPr>
      <w:keepNext/>
      <w:keepLines/>
      <w:spacing w:before="200"/>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AF24E4"/>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160105"/>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ED42D-CDF7-430E-B4D1-F72C31B5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Support</dc:creator>
  <cp:lastModifiedBy>mcadieux</cp:lastModifiedBy>
  <cp:revision>8</cp:revision>
  <cp:lastPrinted>2014-04-25T19:27:00Z</cp:lastPrinted>
  <dcterms:created xsi:type="dcterms:W3CDTF">2013-07-15T17:18:00Z</dcterms:created>
  <dcterms:modified xsi:type="dcterms:W3CDTF">2014-04-25T19:27:00Z</dcterms:modified>
</cp:coreProperties>
</file>